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79" w:rsidRDefault="00723D79" w:rsidP="00723D79">
      <w:pPr>
        <w:widowControl w:val="0"/>
        <w:spacing w:line="312" w:lineRule="auto"/>
        <w:rPr>
          <w:sz w:val="22"/>
          <w:lang w:val="de-DE"/>
        </w:rPr>
      </w:pPr>
      <w:r>
        <w:rPr>
          <w:sz w:val="22"/>
          <w:lang w:val="de-DE"/>
        </w:rPr>
        <w:t>Zürich, 23. Mai 2014</w:t>
      </w:r>
    </w:p>
    <w:p w:rsidR="00723D79" w:rsidRDefault="00723D79" w:rsidP="00723D79">
      <w:pPr>
        <w:widowControl w:val="0"/>
        <w:spacing w:line="312" w:lineRule="auto"/>
        <w:rPr>
          <w:sz w:val="16"/>
          <w:lang w:val="de-DE"/>
        </w:rPr>
      </w:pPr>
    </w:p>
    <w:p w:rsidR="00723D79" w:rsidRPr="00BE1FF4" w:rsidRDefault="00723D79" w:rsidP="00723D79">
      <w:pPr>
        <w:widowControl w:val="0"/>
        <w:spacing w:line="312" w:lineRule="auto"/>
        <w:ind w:right="425"/>
        <w:rPr>
          <w:b/>
          <w:bCs/>
          <w:w w:val="99"/>
          <w:sz w:val="28"/>
          <w:szCs w:val="28"/>
          <w:lang w:val="de-DE"/>
        </w:rPr>
      </w:pPr>
      <w:r>
        <w:rPr>
          <w:b/>
          <w:bCs/>
          <w:w w:val="99"/>
          <w:sz w:val="28"/>
          <w:szCs w:val="28"/>
          <w:lang w:val="de-DE"/>
        </w:rPr>
        <w:t xml:space="preserve">Trotz Minder-Initiative: Nur magere Angaben zu Bonusplänen </w:t>
      </w:r>
    </w:p>
    <w:p w:rsidR="00723D79" w:rsidRPr="00141306" w:rsidRDefault="00723D79" w:rsidP="00723D79">
      <w:pPr>
        <w:widowControl w:val="0"/>
        <w:spacing w:line="312" w:lineRule="auto"/>
        <w:ind w:right="425"/>
        <w:rPr>
          <w:bCs/>
          <w:w w:val="99"/>
          <w:szCs w:val="24"/>
          <w:lang w:val="de-DE"/>
        </w:rPr>
      </w:pPr>
      <w:r w:rsidRPr="00141306">
        <w:rPr>
          <w:bCs/>
          <w:w w:val="99"/>
          <w:szCs w:val="24"/>
          <w:lang w:val="de-DE"/>
        </w:rPr>
        <w:t xml:space="preserve">Mehrheit der börsenkotierten Unternehmen </w:t>
      </w:r>
      <w:r>
        <w:rPr>
          <w:bCs/>
          <w:w w:val="99"/>
          <w:szCs w:val="24"/>
          <w:lang w:val="de-DE"/>
        </w:rPr>
        <w:t>erwartet</w:t>
      </w:r>
      <w:r w:rsidRPr="00141306">
        <w:rPr>
          <w:bCs/>
          <w:w w:val="99"/>
          <w:szCs w:val="24"/>
          <w:lang w:val="de-DE"/>
        </w:rPr>
        <w:t xml:space="preserve"> von Aktionären im Voraus Zustimmung für variable </w:t>
      </w:r>
      <w:r>
        <w:rPr>
          <w:bCs/>
          <w:w w:val="99"/>
          <w:szCs w:val="24"/>
          <w:lang w:val="de-DE"/>
        </w:rPr>
        <w:t>Vergütung des Managements</w:t>
      </w:r>
      <w:r w:rsidRPr="00141306">
        <w:rPr>
          <w:bCs/>
          <w:w w:val="99"/>
          <w:szCs w:val="24"/>
          <w:lang w:val="de-DE"/>
        </w:rPr>
        <w:t xml:space="preserve">, </w:t>
      </w:r>
      <w:r>
        <w:rPr>
          <w:bCs/>
          <w:w w:val="99"/>
          <w:szCs w:val="24"/>
          <w:lang w:val="de-DE"/>
        </w:rPr>
        <w:t>will dazu aber nur spärliche Informationen bekanntgeben</w:t>
      </w:r>
    </w:p>
    <w:p w:rsidR="00723D79" w:rsidRDefault="00723D79" w:rsidP="00723D79">
      <w:pPr>
        <w:widowControl w:val="0"/>
        <w:spacing w:line="312" w:lineRule="auto"/>
        <w:ind w:right="425"/>
        <w:rPr>
          <w:sz w:val="24"/>
          <w:szCs w:val="24"/>
          <w:lang w:val="de-DE"/>
        </w:rPr>
      </w:pPr>
    </w:p>
    <w:p w:rsidR="00723D79" w:rsidRDefault="00723D79" w:rsidP="00723D79">
      <w:pPr>
        <w:widowControl w:val="0"/>
        <w:spacing w:line="312" w:lineRule="auto"/>
        <w:ind w:right="425"/>
        <w:rPr>
          <w:b/>
          <w:lang w:val="de-DE"/>
        </w:rPr>
      </w:pPr>
      <w:r>
        <w:rPr>
          <w:b/>
          <w:lang w:val="de-DE"/>
        </w:rPr>
        <w:t xml:space="preserve">Die meisten börsenkotierten Aktiengesellschaften gehen mit der Umsetzung der Minder-Initiative zur Offenlegung der Vergütung ihrer Führungskräfte zurückhaltend um. Sie geben innerhalb der Statuten nur spärlich Auskunft, welche Leistungsmessgrössen sie für die Bonuspläne verwenden. Dies ergab eine Bestandsaufnahme der Aon-Hewitt-Tochter New Bridge Street bei 26 Unternehmen, die zu </w:t>
      </w:r>
      <w:r w:rsidRPr="0089514A">
        <w:rPr>
          <w:b/>
          <w:lang w:val="de-DE"/>
        </w:rPr>
        <w:t xml:space="preserve">Beginn der Berichtssaison 2014 ihre Resultate veröffentlichten. Nur ein kleiner Teil (12%) gibt </w:t>
      </w:r>
      <w:r>
        <w:rPr>
          <w:b/>
          <w:lang w:val="de-DE"/>
        </w:rPr>
        <w:t xml:space="preserve">Zielwerte </w:t>
      </w:r>
      <w:r w:rsidRPr="0089514A">
        <w:rPr>
          <w:b/>
          <w:lang w:val="de-DE"/>
        </w:rPr>
        <w:t xml:space="preserve">zur Festlegung der Höhe der Boni </w:t>
      </w:r>
      <w:r>
        <w:rPr>
          <w:b/>
          <w:lang w:val="de-DE"/>
        </w:rPr>
        <w:t>bekannt.</w:t>
      </w:r>
      <w:r w:rsidRPr="0089514A">
        <w:rPr>
          <w:b/>
          <w:lang w:val="de-DE"/>
        </w:rPr>
        <w:t xml:space="preserve"> </w:t>
      </w:r>
      <w:r>
        <w:rPr>
          <w:b/>
          <w:lang w:val="de-DE"/>
        </w:rPr>
        <w:t>Bei der langfristigen Zielvergütung (Long Term Incentives, LTI) tut dies sogar nicht ein einziges der Unternehmen. R</w:t>
      </w:r>
      <w:r w:rsidRPr="0089514A">
        <w:rPr>
          <w:b/>
          <w:lang w:val="de-DE"/>
        </w:rPr>
        <w:t xml:space="preserve">und ein Drittel (38 resp. 35%) </w:t>
      </w:r>
      <w:r>
        <w:rPr>
          <w:b/>
          <w:lang w:val="de-DE"/>
        </w:rPr>
        <w:t>gibt</w:t>
      </w:r>
      <w:r w:rsidRPr="0089514A">
        <w:rPr>
          <w:b/>
          <w:lang w:val="de-DE"/>
        </w:rPr>
        <w:t xml:space="preserve"> die max</w:t>
      </w:r>
      <w:r w:rsidRPr="0089514A">
        <w:rPr>
          <w:b/>
          <w:lang w:val="de-DE"/>
        </w:rPr>
        <w:t>i</w:t>
      </w:r>
      <w:r w:rsidRPr="0089514A">
        <w:rPr>
          <w:b/>
          <w:lang w:val="de-DE"/>
        </w:rPr>
        <w:t xml:space="preserve">malen Auszahlungshöhen </w:t>
      </w:r>
      <w:r>
        <w:rPr>
          <w:b/>
          <w:lang w:val="de-DE"/>
        </w:rPr>
        <w:t>bekannt</w:t>
      </w:r>
      <w:r w:rsidRPr="0089514A">
        <w:rPr>
          <w:b/>
          <w:lang w:val="de-DE"/>
        </w:rPr>
        <w:t xml:space="preserve"> und die Mehrheit </w:t>
      </w:r>
      <w:r>
        <w:rPr>
          <w:b/>
          <w:lang w:val="de-DE"/>
        </w:rPr>
        <w:t>legt sich gar nicht fest (siehe Tabe</w:t>
      </w:r>
      <w:r>
        <w:rPr>
          <w:b/>
          <w:lang w:val="de-DE"/>
        </w:rPr>
        <w:t>l</w:t>
      </w:r>
      <w:r>
        <w:rPr>
          <w:b/>
          <w:lang w:val="de-DE"/>
        </w:rPr>
        <w:t xml:space="preserve">le). Auch lassen sich die Unternehmen nicht in die Karten schauen, wie stark </w:t>
      </w:r>
      <w:r w:rsidRPr="0089514A">
        <w:rPr>
          <w:b/>
          <w:lang w:val="de-DE"/>
        </w:rPr>
        <w:t>individuelle oder unternehmensspezifische Messgrössen zu</w:t>
      </w:r>
      <w:r>
        <w:rPr>
          <w:b/>
          <w:lang w:val="de-DE"/>
        </w:rPr>
        <w:t>r Leistungsbeurteilung g</w:t>
      </w:r>
      <w:r>
        <w:rPr>
          <w:b/>
          <w:lang w:val="de-DE"/>
        </w:rPr>
        <w:t>e</w:t>
      </w:r>
      <w:r>
        <w:rPr>
          <w:b/>
          <w:lang w:val="de-DE"/>
        </w:rPr>
        <w:t>wichtet werden</w:t>
      </w:r>
      <w:r w:rsidRPr="0089514A">
        <w:rPr>
          <w:b/>
          <w:lang w:val="de-DE"/>
        </w:rPr>
        <w:t xml:space="preserve"> und ob sie finanzieller oder nicht finanzieller Art sind. </w:t>
      </w:r>
      <w:r>
        <w:rPr>
          <w:b/>
          <w:lang w:val="de-DE"/>
        </w:rPr>
        <w:t>Bei 46% der b</w:t>
      </w:r>
      <w:r>
        <w:rPr>
          <w:b/>
          <w:lang w:val="de-DE"/>
        </w:rPr>
        <w:t>e</w:t>
      </w:r>
      <w:r>
        <w:rPr>
          <w:b/>
          <w:lang w:val="de-DE"/>
        </w:rPr>
        <w:t>trachteten Organ</w:t>
      </w:r>
      <w:r>
        <w:rPr>
          <w:b/>
          <w:lang w:val="de-DE"/>
        </w:rPr>
        <w:t>i</w:t>
      </w:r>
      <w:r>
        <w:rPr>
          <w:b/>
          <w:lang w:val="de-DE"/>
        </w:rPr>
        <w:t xml:space="preserve">sationen sollen </w:t>
      </w:r>
      <w:bookmarkStart w:id="0" w:name="_GoBack"/>
      <w:bookmarkEnd w:id="0"/>
      <w:r>
        <w:rPr>
          <w:b/>
          <w:lang w:val="de-DE"/>
        </w:rPr>
        <w:t>die Aktionäre im Voraus über die Bonipläne abstimmen, 27% haben sich für ein retrospektives Abstimmungsverfahren entschieden und bei 8% lassen die Stat</w:t>
      </w:r>
      <w:r>
        <w:rPr>
          <w:b/>
          <w:lang w:val="de-DE"/>
        </w:rPr>
        <w:t>u</w:t>
      </w:r>
      <w:r>
        <w:rPr>
          <w:b/>
          <w:lang w:val="de-DE"/>
        </w:rPr>
        <w:t>ten beides zu. „Die Mehrheit der Unternehmen, die sich bei den STI für eine prospektive Abstimmung an der Generalversammlung – also 1 Jahr vor Veröffentl</w:t>
      </w:r>
      <w:r>
        <w:rPr>
          <w:b/>
          <w:lang w:val="de-DE"/>
        </w:rPr>
        <w:t>i</w:t>
      </w:r>
      <w:r>
        <w:rPr>
          <w:b/>
          <w:lang w:val="de-DE"/>
        </w:rPr>
        <w:t>chung der Geschäftsergebnisse – entschieden haben, macht nur spärliche Angaben d</w:t>
      </w:r>
      <w:r>
        <w:rPr>
          <w:b/>
          <w:lang w:val="de-DE"/>
        </w:rPr>
        <w:t>a</w:t>
      </w:r>
      <w:r>
        <w:rPr>
          <w:b/>
          <w:lang w:val="de-DE"/>
        </w:rPr>
        <w:t>zu, wie diese Boni festgelegt we</w:t>
      </w:r>
      <w:r>
        <w:rPr>
          <w:b/>
          <w:lang w:val="de-DE"/>
        </w:rPr>
        <w:t>r</w:t>
      </w:r>
      <w:r>
        <w:rPr>
          <w:b/>
          <w:lang w:val="de-DE"/>
        </w:rPr>
        <w:t>den. Mit derart dürftigen Informationen werden sie es allerdings schwer haben, bei den Aktionären Zustimmung für künftige Top-Management-Boni zu finden“, sagt S</w:t>
      </w:r>
      <w:r>
        <w:rPr>
          <w:b/>
          <w:lang w:val="de-DE"/>
        </w:rPr>
        <w:t>a</w:t>
      </w:r>
      <w:r>
        <w:rPr>
          <w:b/>
          <w:lang w:val="de-DE"/>
        </w:rPr>
        <w:t>cha Cahn, Practice Leader bei New Bridge Street Schweiz. „Es werden substantielle vorausblickende Info</w:t>
      </w:r>
      <w:r>
        <w:rPr>
          <w:b/>
          <w:lang w:val="de-DE"/>
        </w:rPr>
        <w:t>r</w:t>
      </w:r>
      <w:r>
        <w:rPr>
          <w:b/>
          <w:lang w:val="de-DE"/>
        </w:rPr>
        <w:t>mationen bezüglich Leistung und Auszahlung erforderlich sein, um die Aktionäre von der Richtigkeit und Nachhaltigkeit der vorg</w:t>
      </w:r>
      <w:r>
        <w:rPr>
          <w:b/>
          <w:lang w:val="de-DE"/>
        </w:rPr>
        <w:t>e</w:t>
      </w:r>
      <w:r>
        <w:rPr>
          <w:b/>
          <w:lang w:val="de-DE"/>
        </w:rPr>
        <w:t>schlagenen Boni zu überze</w:t>
      </w:r>
      <w:r>
        <w:rPr>
          <w:b/>
          <w:lang w:val="de-DE"/>
        </w:rPr>
        <w:t>u</w:t>
      </w:r>
      <w:r>
        <w:rPr>
          <w:b/>
          <w:lang w:val="de-DE"/>
        </w:rPr>
        <w:t>gen.“</w:t>
      </w:r>
    </w:p>
    <w:p w:rsidR="00723D79" w:rsidRDefault="00723D79" w:rsidP="00723D79">
      <w:pPr>
        <w:widowControl w:val="0"/>
        <w:spacing w:line="312" w:lineRule="auto"/>
        <w:ind w:right="425"/>
        <w:rPr>
          <w:b/>
          <w:lang w:val="de-DE"/>
        </w:rPr>
      </w:pPr>
    </w:p>
    <w:p w:rsidR="00723D79" w:rsidRDefault="00723D79" w:rsidP="00723D79">
      <w:pPr>
        <w:widowControl w:val="0"/>
        <w:spacing w:line="312" w:lineRule="auto"/>
        <w:ind w:right="425"/>
        <w:rPr>
          <w:b/>
          <w:lang w:val="de-DE"/>
        </w:rPr>
      </w:pPr>
      <w:r>
        <w:rPr>
          <w:lang w:val="de-DE"/>
        </w:rPr>
        <w:t>New Bridge Street hat die Gelegenheit wahrgenommen, die Art und Weise, wie Unternehmen die Vergütungspläne für das Top-Management veröffentlichen wollen, unter die Lupe zu ne</w:t>
      </w:r>
      <w:r>
        <w:rPr>
          <w:lang w:val="de-DE"/>
        </w:rPr>
        <w:t>h</w:t>
      </w:r>
      <w:r>
        <w:rPr>
          <w:lang w:val="de-DE"/>
        </w:rPr>
        <w:t>men. „Dabei geht es vor allem um Bestimmungen in den Statuten, die Zielvergütung und max</w:t>
      </w:r>
      <w:r>
        <w:rPr>
          <w:lang w:val="de-DE"/>
        </w:rPr>
        <w:t>i</w:t>
      </w:r>
      <w:r>
        <w:rPr>
          <w:lang w:val="de-DE"/>
        </w:rPr>
        <w:t>male Ausschüttungen als kurz- und langfristig berechnete Boni betreffen“, sagt Cahn. „Es ist erstaunlich, dass ein Grossteil der Unternehmen derart wenige Angaben dazu macht und so die Ablehnung der Vergütungspläne an ihrer Generalversammlung in Kauf nimmt.“ Denn egal, ob sich ein Unternehmen für eine zurück- oder vorausschauende Bekanntgabe entschieden hat, hätte laut Cahn eine Zurückweisung weitreichende Folgen: Es könnte daran gehindert werden, bereits mit den Managern ausgehandelte, erwartete Boni auszuzahlen oder müsste seine Pläne für das Folgejahr im Nachgang zur Generalversammlung mit den Aktionären überarbeiten. „Am schwierigsten dürften es Unternehmen haben, die sich von den Aktionären die Management-Boni im voraus absegnen lassen wollen, wenn die Vorjahreszahlen schlecht waren“, sagt Cahn. „Der Aktionär muss überzeugt werden, dass dem Management Boni für ausserordentliche Le</w:t>
      </w:r>
      <w:r>
        <w:rPr>
          <w:lang w:val="de-DE"/>
        </w:rPr>
        <w:t>i</w:t>
      </w:r>
      <w:r>
        <w:rPr>
          <w:lang w:val="de-DE"/>
        </w:rPr>
        <w:t>stungen ausbezahlt werden. Der Erfolg bei Generalversammlungsabbstimmungen wird en</w:t>
      </w:r>
      <w:r>
        <w:rPr>
          <w:lang w:val="de-DE"/>
        </w:rPr>
        <w:t>t</w:t>
      </w:r>
      <w:r>
        <w:rPr>
          <w:lang w:val="de-DE"/>
        </w:rPr>
        <w:t>scheidend davon a</w:t>
      </w:r>
      <w:r>
        <w:rPr>
          <w:lang w:val="de-DE"/>
        </w:rPr>
        <w:t>b</w:t>
      </w:r>
      <w:r>
        <w:rPr>
          <w:lang w:val="de-DE"/>
        </w:rPr>
        <w:t>hängen, ob Unternehmen dies transparent belegen können. Hier besteht nach wie vor Verbess</w:t>
      </w:r>
      <w:r>
        <w:rPr>
          <w:lang w:val="de-DE"/>
        </w:rPr>
        <w:t>e</w:t>
      </w:r>
      <w:r>
        <w:rPr>
          <w:lang w:val="de-DE"/>
        </w:rPr>
        <w:t xml:space="preserve">rungspotenzial.“   </w:t>
      </w:r>
    </w:p>
    <w:p w:rsidR="00723D79" w:rsidRDefault="00723D79" w:rsidP="00723D79">
      <w:pPr>
        <w:widowControl w:val="0"/>
        <w:spacing w:line="312" w:lineRule="auto"/>
        <w:ind w:right="425"/>
        <w:rPr>
          <w:b/>
          <w:lang w:val="de-DE"/>
        </w:rPr>
      </w:pPr>
    </w:p>
    <w:p w:rsidR="00723D79" w:rsidRDefault="00723D79" w:rsidP="00723D79">
      <w:pPr>
        <w:widowControl w:val="0"/>
        <w:spacing w:line="312" w:lineRule="auto"/>
        <w:ind w:right="425"/>
        <w:rPr>
          <w:b/>
          <w:lang w:val="de-DE"/>
        </w:rPr>
      </w:pPr>
      <w:r>
        <w:rPr>
          <w:b/>
          <w:lang w:val="de-DE"/>
        </w:rPr>
        <w:t>Hintergrund</w:t>
      </w:r>
    </w:p>
    <w:p w:rsidR="00723D79" w:rsidRDefault="00723D79" w:rsidP="00723D79">
      <w:pPr>
        <w:widowControl w:val="0"/>
        <w:spacing w:line="312" w:lineRule="auto"/>
        <w:ind w:right="425"/>
        <w:rPr>
          <w:lang w:val="de-DE"/>
        </w:rPr>
      </w:pPr>
      <w:r>
        <w:rPr>
          <w:lang w:val="de-DE"/>
        </w:rPr>
        <w:t xml:space="preserve">Im </w:t>
      </w:r>
      <w:r w:rsidRPr="00056E27">
        <w:rPr>
          <w:lang w:val="de-DE"/>
        </w:rPr>
        <w:t xml:space="preserve"> März 2013 nahm</w:t>
      </w:r>
      <w:r>
        <w:rPr>
          <w:lang w:val="de-DE"/>
        </w:rPr>
        <w:t>en</w:t>
      </w:r>
      <w:r w:rsidRPr="00056E27">
        <w:rPr>
          <w:lang w:val="de-DE"/>
        </w:rPr>
        <w:t xml:space="preserve"> </w:t>
      </w:r>
      <w:r>
        <w:rPr>
          <w:lang w:val="de-DE"/>
        </w:rPr>
        <w:t>die</w:t>
      </w:r>
      <w:r w:rsidRPr="00056E27">
        <w:rPr>
          <w:lang w:val="de-DE"/>
        </w:rPr>
        <w:t xml:space="preserve"> Schweizer </w:t>
      </w:r>
      <w:r>
        <w:rPr>
          <w:lang w:val="de-DE"/>
        </w:rPr>
        <w:t>Stimmberechtigten</w:t>
      </w:r>
      <w:r w:rsidRPr="00056E27">
        <w:rPr>
          <w:lang w:val="de-DE"/>
        </w:rPr>
        <w:t xml:space="preserve"> eine Volksinitiative an, mit der sich die Vergütung der Führungskräfte von börsenkotierten Aktiengesellschaften in der Schweiz drastisch verändern wird</w:t>
      </w:r>
      <w:r>
        <w:rPr>
          <w:lang w:val="de-DE"/>
        </w:rPr>
        <w:t>:</w:t>
      </w:r>
      <w:r w:rsidRPr="00056E27">
        <w:rPr>
          <w:lang w:val="de-DE"/>
        </w:rPr>
        <w:t xml:space="preserve"> Die vorgeschlagenen Änderungen sollen "übermässigen Vergütu</w:t>
      </w:r>
      <w:r w:rsidRPr="00056E27">
        <w:rPr>
          <w:lang w:val="de-DE"/>
        </w:rPr>
        <w:t>n</w:t>
      </w:r>
      <w:r w:rsidRPr="00056E27">
        <w:rPr>
          <w:lang w:val="de-DE"/>
        </w:rPr>
        <w:t>gen" Einhalt gebieten. Die entsprechende Verordnung t</w:t>
      </w:r>
      <w:r>
        <w:rPr>
          <w:lang w:val="de-DE"/>
        </w:rPr>
        <w:t xml:space="preserve">rat am 1. Januar 2014 in Kraft – die </w:t>
      </w:r>
      <w:r w:rsidRPr="00056E27">
        <w:rPr>
          <w:lang w:val="de-DE"/>
        </w:rPr>
        <w:t xml:space="preserve">erste Berichtssaison </w:t>
      </w:r>
      <w:r>
        <w:rPr>
          <w:lang w:val="de-DE"/>
        </w:rPr>
        <w:t>unter der</w:t>
      </w:r>
      <w:r w:rsidRPr="00056E27">
        <w:rPr>
          <w:lang w:val="de-DE"/>
        </w:rPr>
        <w:t xml:space="preserve"> neuen Regelungen ist </w:t>
      </w:r>
      <w:r>
        <w:rPr>
          <w:lang w:val="de-DE"/>
        </w:rPr>
        <w:t xml:space="preserve">also </w:t>
      </w:r>
      <w:r w:rsidRPr="00056E27">
        <w:rPr>
          <w:lang w:val="de-DE"/>
        </w:rPr>
        <w:t xml:space="preserve">bereits in vollem Gang. </w:t>
      </w:r>
      <w:r>
        <w:rPr>
          <w:lang w:val="de-DE"/>
        </w:rPr>
        <w:t xml:space="preserve">New Bridge Street hat </w:t>
      </w:r>
      <w:r w:rsidRPr="00056E27">
        <w:rPr>
          <w:lang w:val="de-DE"/>
        </w:rPr>
        <w:t xml:space="preserve">Unternehmen, die ihre </w:t>
      </w:r>
      <w:r>
        <w:rPr>
          <w:lang w:val="de-DE"/>
        </w:rPr>
        <w:t>Generalversammlungen</w:t>
      </w:r>
      <w:r w:rsidRPr="00056E27">
        <w:rPr>
          <w:lang w:val="de-DE"/>
        </w:rPr>
        <w:t xml:space="preserve"> schon hinter sich h</w:t>
      </w:r>
      <w:r>
        <w:rPr>
          <w:lang w:val="de-DE"/>
        </w:rPr>
        <w:t>aben oder die kurz davor stehen, hinsichtlich der Umsetzung der Initiative geprüft</w:t>
      </w:r>
      <w:r w:rsidRPr="00056E27">
        <w:rPr>
          <w:lang w:val="de-DE"/>
        </w:rPr>
        <w:t>.</w:t>
      </w:r>
      <w:r>
        <w:rPr>
          <w:b/>
          <w:lang w:val="de-DE"/>
        </w:rPr>
        <w:t xml:space="preserve"> </w:t>
      </w:r>
      <w:r>
        <w:rPr>
          <w:lang w:val="de-DE"/>
        </w:rPr>
        <w:t>Betrachtet</w:t>
      </w:r>
      <w:r w:rsidRPr="00056E27">
        <w:rPr>
          <w:lang w:val="de-DE"/>
        </w:rPr>
        <w:t xml:space="preserve"> </w:t>
      </w:r>
      <w:r>
        <w:rPr>
          <w:lang w:val="de-DE"/>
        </w:rPr>
        <w:t>wurden</w:t>
      </w:r>
      <w:r w:rsidRPr="00056E27">
        <w:rPr>
          <w:lang w:val="de-DE"/>
        </w:rPr>
        <w:t xml:space="preserve"> die Berichte von 26 Unternehmen, von denen die meisten am Anfang der Bericht</w:t>
      </w:r>
      <w:r>
        <w:rPr>
          <w:lang w:val="de-DE"/>
        </w:rPr>
        <w:t>s</w:t>
      </w:r>
      <w:r w:rsidRPr="00056E27">
        <w:rPr>
          <w:lang w:val="de-DE"/>
        </w:rPr>
        <w:t>saison 2014 ihre Result</w:t>
      </w:r>
      <w:r w:rsidRPr="00056E27">
        <w:rPr>
          <w:lang w:val="de-DE"/>
        </w:rPr>
        <w:t>a</w:t>
      </w:r>
      <w:r w:rsidRPr="00056E27">
        <w:rPr>
          <w:lang w:val="de-DE"/>
        </w:rPr>
        <w:t xml:space="preserve">te veröffentlichten (20 </w:t>
      </w:r>
      <w:r>
        <w:rPr>
          <w:lang w:val="de-DE"/>
        </w:rPr>
        <w:t>aus dem</w:t>
      </w:r>
      <w:r w:rsidRPr="00056E27">
        <w:rPr>
          <w:lang w:val="de-DE"/>
        </w:rPr>
        <w:t xml:space="preserve"> Swiss Market Index und 6 </w:t>
      </w:r>
      <w:r>
        <w:rPr>
          <w:lang w:val="de-DE"/>
        </w:rPr>
        <w:t>des</w:t>
      </w:r>
      <w:r w:rsidRPr="00056E27">
        <w:rPr>
          <w:lang w:val="de-DE"/>
        </w:rPr>
        <w:t xml:space="preserve"> etwas weiter gefassten Swiss Performance Index). </w:t>
      </w:r>
      <w:r>
        <w:rPr>
          <w:lang w:val="de-DE"/>
        </w:rPr>
        <w:t>Weil die Verordnung das</w:t>
      </w:r>
      <w:r w:rsidRPr="00056E27">
        <w:rPr>
          <w:lang w:val="de-DE"/>
        </w:rPr>
        <w:t xml:space="preserve"> Jahr 2014 als Übergangsperiode </w:t>
      </w:r>
      <w:r>
        <w:rPr>
          <w:lang w:val="de-DE"/>
        </w:rPr>
        <w:t>vorsieht und diese erst ab</w:t>
      </w:r>
      <w:r w:rsidRPr="00056E27">
        <w:rPr>
          <w:lang w:val="de-DE"/>
        </w:rPr>
        <w:t xml:space="preserve"> 2015 vollständig umgesetzt sein</w:t>
      </w:r>
      <w:r>
        <w:rPr>
          <w:lang w:val="de-DE"/>
        </w:rPr>
        <w:t xml:space="preserve"> muss, hat man sich </w:t>
      </w:r>
      <w:r w:rsidRPr="00056E27">
        <w:rPr>
          <w:lang w:val="de-DE"/>
        </w:rPr>
        <w:t>auf die Änderungen konze</w:t>
      </w:r>
      <w:r w:rsidRPr="00056E27">
        <w:rPr>
          <w:lang w:val="de-DE"/>
        </w:rPr>
        <w:t>n</w:t>
      </w:r>
      <w:r w:rsidRPr="00056E27">
        <w:rPr>
          <w:lang w:val="de-DE"/>
        </w:rPr>
        <w:t>triert, welche die Unternehmen im Zusammenhang mit der Vergütungspol</w:t>
      </w:r>
      <w:r>
        <w:rPr>
          <w:lang w:val="de-DE"/>
        </w:rPr>
        <w:t>itik an den Statuten vornehmen. K</w:t>
      </w:r>
      <w:r w:rsidRPr="00056E27">
        <w:rPr>
          <w:lang w:val="de-DE"/>
        </w:rPr>
        <w:t xml:space="preserve">onkret sind dies die Bestimmungen, </w:t>
      </w:r>
      <w:r>
        <w:rPr>
          <w:lang w:val="de-DE"/>
        </w:rPr>
        <w:t>die</w:t>
      </w:r>
      <w:r w:rsidRPr="00056E27">
        <w:rPr>
          <w:lang w:val="de-DE"/>
        </w:rPr>
        <w:t xml:space="preserve"> Zielvergütungen und maximale Ausza</w:t>
      </w:r>
      <w:r w:rsidRPr="00056E27">
        <w:rPr>
          <w:lang w:val="de-DE"/>
        </w:rPr>
        <w:t>h</w:t>
      </w:r>
      <w:r w:rsidRPr="00056E27">
        <w:rPr>
          <w:lang w:val="de-DE"/>
        </w:rPr>
        <w:t>lungen in Short- und Long-Term-Incentive-Plänen betreffen.</w:t>
      </w:r>
      <w:r>
        <w:rPr>
          <w:lang w:val="de-DE"/>
        </w:rPr>
        <w:t xml:space="preserve"> Die wichtigsten Ergebnisse dazu im Überblick:</w:t>
      </w:r>
    </w:p>
    <w:p w:rsidR="00723D79" w:rsidRDefault="00723D79" w:rsidP="00723D79">
      <w:pPr>
        <w:widowControl w:val="0"/>
        <w:spacing w:line="312" w:lineRule="auto"/>
        <w:ind w:right="425"/>
        <w:rPr>
          <w:lang w:val="de-DE"/>
        </w:rPr>
      </w:pPr>
    </w:p>
    <w:p w:rsidR="00723D79" w:rsidRPr="00CF79B9" w:rsidRDefault="00723D79" w:rsidP="00723D79">
      <w:pPr>
        <w:widowControl w:val="0"/>
        <w:spacing w:line="312" w:lineRule="auto"/>
        <w:ind w:right="425"/>
        <w:rPr>
          <w:b/>
          <w:lang w:val="de-CH"/>
        </w:rPr>
      </w:pPr>
      <w:r w:rsidRPr="00753B9F">
        <w:rPr>
          <w:b/>
          <w:lang w:val="de-CH"/>
        </w:rPr>
        <w:t>Eine Minderheit legt STI/LTI Zielvergütungen und/oder ihre maximale Auszahlung offen</w:t>
      </w:r>
    </w:p>
    <w:p w:rsidR="00723D79" w:rsidRPr="00CF79B9" w:rsidRDefault="00723D79" w:rsidP="00723D79">
      <w:pPr>
        <w:widowControl w:val="0"/>
        <w:spacing w:line="312" w:lineRule="auto"/>
        <w:ind w:right="425"/>
        <w:rPr>
          <w:lang w:val="de-CH"/>
        </w:rPr>
      </w:pPr>
      <w:r w:rsidRPr="00753B9F">
        <w:rPr>
          <w:lang w:val="de-CH"/>
        </w:rPr>
        <w:t>Prozentsatz der Unternehmen, die STI/LTI Zielvergütungen oder maximale Auszahlungshöhen offengelegt haben, diejenigen, die Vergütungen diskretionär handhaben oder keine Angaben gemacht haben:</w:t>
      </w:r>
    </w:p>
    <w:p w:rsidR="00723D79" w:rsidRPr="00171972" w:rsidRDefault="00723D79" w:rsidP="00723D79">
      <w:pPr>
        <w:widowControl w:val="0"/>
        <w:spacing w:line="312" w:lineRule="auto"/>
        <w:ind w:right="425"/>
        <w:rPr>
          <w:lang w:val="de-DE"/>
        </w:rPr>
      </w:pPr>
    </w:p>
    <w:tbl>
      <w:tblPr>
        <w:tblW w:w="6545"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tblPr>
      <w:tblGrid>
        <w:gridCol w:w="2181"/>
        <w:gridCol w:w="2182"/>
        <w:gridCol w:w="2182"/>
      </w:tblGrid>
      <w:tr w:rsidR="00723D79" w:rsidRPr="00351C3D">
        <w:tc>
          <w:tcPr>
            <w:tcW w:w="2181" w:type="dxa"/>
            <w:shd w:val="clear" w:color="auto" w:fill="99CCFF"/>
            <w:vAlign w:val="center"/>
          </w:tcPr>
          <w:p w:rsidR="00723D79" w:rsidRPr="00351C3D" w:rsidRDefault="00723D79" w:rsidP="00171972">
            <w:pPr>
              <w:pStyle w:val="2ColumnBody"/>
              <w:spacing w:before="120"/>
              <w:jc w:val="center"/>
              <w:rPr>
                <w:b/>
              </w:rPr>
            </w:pPr>
          </w:p>
        </w:tc>
        <w:tc>
          <w:tcPr>
            <w:tcW w:w="2182" w:type="dxa"/>
            <w:shd w:val="clear" w:color="auto" w:fill="99CCFF"/>
            <w:vAlign w:val="center"/>
          </w:tcPr>
          <w:p w:rsidR="00723D79" w:rsidRPr="00351C3D" w:rsidRDefault="00723D79" w:rsidP="00171972">
            <w:pPr>
              <w:pStyle w:val="2ColumnBody"/>
              <w:spacing w:before="120"/>
              <w:jc w:val="center"/>
              <w:rPr>
                <w:b/>
              </w:rPr>
            </w:pPr>
            <w:r>
              <w:rPr>
                <w:b/>
              </w:rPr>
              <w:t>STI</w:t>
            </w:r>
          </w:p>
        </w:tc>
        <w:tc>
          <w:tcPr>
            <w:tcW w:w="2182" w:type="dxa"/>
            <w:shd w:val="clear" w:color="auto" w:fill="99CCFF"/>
            <w:vAlign w:val="center"/>
          </w:tcPr>
          <w:p w:rsidR="00723D79" w:rsidRPr="00351C3D" w:rsidRDefault="00723D79" w:rsidP="00171972">
            <w:pPr>
              <w:pStyle w:val="2ColumnBody"/>
              <w:spacing w:before="120"/>
              <w:jc w:val="center"/>
              <w:rPr>
                <w:b/>
              </w:rPr>
            </w:pPr>
            <w:r>
              <w:rPr>
                <w:b/>
              </w:rPr>
              <w:t>LTI</w:t>
            </w:r>
          </w:p>
        </w:tc>
      </w:tr>
      <w:tr w:rsidR="00723D79" w:rsidRPr="00351C3D">
        <w:tc>
          <w:tcPr>
            <w:tcW w:w="2181" w:type="dxa"/>
            <w:shd w:val="clear" w:color="auto" w:fill="99CCFF"/>
            <w:vAlign w:val="center"/>
          </w:tcPr>
          <w:p w:rsidR="00723D79" w:rsidRPr="00351C3D" w:rsidRDefault="00723D79" w:rsidP="00171972">
            <w:pPr>
              <w:pStyle w:val="2ColumnBody"/>
              <w:spacing w:before="120"/>
              <w:jc w:val="center"/>
              <w:rPr>
                <w:b/>
              </w:rPr>
            </w:pPr>
            <w:r>
              <w:rPr>
                <w:b/>
              </w:rPr>
              <w:t>Angabe zur Zielve</w:t>
            </w:r>
            <w:r>
              <w:rPr>
                <w:b/>
              </w:rPr>
              <w:t>r</w:t>
            </w:r>
            <w:r>
              <w:rPr>
                <w:b/>
              </w:rPr>
              <w:t>gütung</w:t>
            </w:r>
          </w:p>
        </w:tc>
        <w:tc>
          <w:tcPr>
            <w:tcW w:w="2182" w:type="dxa"/>
            <w:shd w:val="clear" w:color="auto" w:fill="99CCFF"/>
            <w:vAlign w:val="center"/>
          </w:tcPr>
          <w:p w:rsidR="00723D79" w:rsidRPr="00351C3D" w:rsidRDefault="00723D79" w:rsidP="00171972">
            <w:pPr>
              <w:pStyle w:val="2ColumnBody"/>
              <w:spacing w:before="120"/>
              <w:jc w:val="center"/>
              <w:rPr>
                <w:b/>
              </w:rPr>
            </w:pPr>
            <w:r>
              <w:rPr>
                <w:b/>
              </w:rPr>
              <w:t>12%</w:t>
            </w:r>
          </w:p>
        </w:tc>
        <w:tc>
          <w:tcPr>
            <w:tcW w:w="2182" w:type="dxa"/>
            <w:shd w:val="clear" w:color="auto" w:fill="99CCFF"/>
            <w:vAlign w:val="center"/>
          </w:tcPr>
          <w:p w:rsidR="00723D79" w:rsidRPr="00351C3D" w:rsidRDefault="00723D79" w:rsidP="00171972">
            <w:pPr>
              <w:pStyle w:val="2ColumnBody"/>
              <w:spacing w:before="120"/>
              <w:jc w:val="center"/>
              <w:rPr>
                <w:b/>
              </w:rPr>
            </w:pPr>
            <w:r>
              <w:rPr>
                <w:b/>
              </w:rPr>
              <w:t>0%</w:t>
            </w:r>
          </w:p>
        </w:tc>
      </w:tr>
      <w:tr w:rsidR="00723D79" w:rsidRPr="00351C3D">
        <w:tc>
          <w:tcPr>
            <w:tcW w:w="2181" w:type="dxa"/>
            <w:shd w:val="clear" w:color="auto" w:fill="99CCFF"/>
            <w:vAlign w:val="center"/>
          </w:tcPr>
          <w:p w:rsidR="00723D79" w:rsidRPr="00351C3D" w:rsidRDefault="00723D79" w:rsidP="00171972">
            <w:pPr>
              <w:pStyle w:val="2ColumnBody"/>
              <w:spacing w:before="120"/>
              <w:jc w:val="center"/>
              <w:rPr>
                <w:b/>
              </w:rPr>
            </w:pPr>
            <w:r>
              <w:rPr>
                <w:b/>
              </w:rPr>
              <w:t>Angabe zur maxim</w:t>
            </w:r>
            <w:r>
              <w:rPr>
                <w:b/>
              </w:rPr>
              <w:t>a</w:t>
            </w:r>
            <w:r>
              <w:rPr>
                <w:b/>
              </w:rPr>
              <w:t>len Auszahlung</w:t>
            </w:r>
          </w:p>
        </w:tc>
        <w:tc>
          <w:tcPr>
            <w:tcW w:w="2182" w:type="dxa"/>
            <w:shd w:val="clear" w:color="auto" w:fill="99CCFF"/>
            <w:vAlign w:val="center"/>
          </w:tcPr>
          <w:p w:rsidR="00723D79" w:rsidRPr="00351C3D" w:rsidRDefault="00723D79" w:rsidP="00171972">
            <w:pPr>
              <w:pStyle w:val="2ColumnBody"/>
              <w:spacing w:before="120"/>
              <w:jc w:val="center"/>
              <w:rPr>
                <w:b/>
              </w:rPr>
            </w:pPr>
            <w:r>
              <w:rPr>
                <w:b/>
              </w:rPr>
              <w:t>38%</w:t>
            </w:r>
          </w:p>
        </w:tc>
        <w:tc>
          <w:tcPr>
            <w:tcW w:w="2182" w:type="dxa"/>
            <w:shd w:val="clear" w:color="auto" w:fill="99CCFF"/>
            <w:vAlign w:val="center"/>
          </w:tcPr>
          <w:p w:rsidR="00723D79" w:rsidRPr="00351C3D" w:rsidRDefault="00723D79" w:rsidP="00171972">
            <w:pPr>
              <w:pStyle w:val="2ColumnBody"/>
              <w:spacing w:before="120"/>
              <w:jc w:val="center"/>
              <w:rPr>
                <w:b/>
              </w:rPr>
            </w:pPr>
            <w:r>
              <w:rPr>
                <w:b/>
              </w:rPr>
              <w:t>35%</w:t>
            </w:r>
          </w:p>
        </w:tc>
      </w:tr>
      <w:tr w:rsidR="00723D79" w:rsidRPr="00351C3D">
        <w:tc>
          <w:tcPr>
            <w:tcW w:w="2181" w:type="dxa"/>
            <w:shd w:val="clear" w:color="auto" w:fill="99CCFF"/>
            <w:vAlign w:val="center"/>
          </w:tcPr>
          <w:p w:rsidR="00723D79" w:rsidRPr="00351C3D" w:rsidRDefault="00723D79" w:rsidP="00171972">
            <w:pPr>
              <w:pStyle w:val="2ColumnBody"/>
              <w:spacing w:before="120"/>
              <w:jc w:val="center"/>
              <w:rPr>
                <w:b/>
              </w:rPr>
            </w:pPr>
            <w:r>
              <w:rPr>
                <w:b/>
              </w:rPr>
              <w:t xml:space="preserve">Diskretionär </w:t>
            </w:r>
            <w:r>
              <w:rPr>
                <w:b/>
              </w:rPr>
              <w:br/>
              <w:t>(keine Angaben zu Zielvergütung oder maximaler Ausza</w:t>
            </w:r>
            <w:r>
              <w:rPr>
                <w:b/>
              </w:rPr>
              <w:t>h</w:t>
            </w:r>
            <w:r>
              <w:rPr>
                <w:b/>
              </w:rPr>
              <w:t>lung)</w:t>
            </w:r>
          </w:p>
        </w:tc>
        <w:tc>
          <w:tcPr>
            <w:tcW w:w="2182" w:type="dxa"/>
            <w:shd w:val="clear" w:color="auto" w:fill="99CCFF"/>
            <w:vAlign w:val="center"/>
          </w:tcPr>
          <w:p w:rsidR="00723D79" w:rsidRPr="00351C3D" w:rsidRDefault="00723D79" w:rsidP="00171972">
            <w:pPr>
              <w:pStyle w:val="2ColumnBody"/>
              <w:spacing w:before="120"/>
              <w:jc w:val="center"/>
              <w:rPr>
                <w:b/>
              </w:rPr>
            </w:pPr>
            <w:r>
              <w:rPr>
                <w:b/>
              </w:rPr>
              <w:t>34%</w:t>
            </w:r>
          </w:p>
        </w:tc>
        <w:tc>
          <w:tcPr>
            <w:tcW w:w="2182" w:type="dxa"/>
            <w:shd w:val="clear" w:color="auto" w:fill="99CCFF"/>
            <w:vAlign w:val="center"/>
          </w:tcPr>
          <w:p w:rsidR="00723D79" w:rsidRPr="00351C3D" w:rsidRDefault="00723D79" w:rsidP="00171972">
            <w:pPr>
              <w:pStyle w:val="2ColumnBody"/>
              <w:spacing w:before="120"/>
              <w:jc w:val="center"/>
              <w:rPr>
                <w:b/>
              </w:rPr>
            </w:pPr>
            <w:r>
              <w:rPr>
                <w:b/>
              </w:rPr>
              <w:t>46%</w:t>
            </w:r>
          </w:p>
        </w:tc>
      </w:tr>
      <w:tr w:rsidR="00723D79" w:rsidRPr="00351C3D">
        <w:tc>
          <w:tcPr>
            <w:tcW w:w="2181" w:type="dxa"/>
            <w:shd w:val="clear" w:color="auto" w:fill="99CCFF"/>
            <w:vAlign w:val="center"/>
          </w:tcPr>
          <w:p w:rsidR="00723D79" w:rsidRPr="00351C3D" w:rsidRDefault="00723D79" w:rsidP="00171972">
            <w:pPr>
              <w:pStyle w:val="2ColumnBody"/>
              <w:spacing w:before="120"/>
              <w:jc w:val="center"/>
              <w:rPr>
                <w:b/>
              </w:rPr>
            </w:pPr>
            <w:r>
              <w:rPr>
                <w:b/>
              </w:rPr>
              <w:t>Keine Angaben</w:t>
            </w:r>
          </w:p>
        </w:tc>
        <w:tc>
          <w:tcPr>
            <w:tcW w:w="2182" w:type="dxa"/>
            <w:shd w:val="clear" w:color="auto" w:fill="99CCFF"/>
            <w:vAlign w:val="center"/>
          </w:tcPr>
          <w:p w:rsidR="00723D79" w:rsidRPr="00351C3D" w:rsidRDefault="00723D79" w:rsidP="00171972">
            <w:pPr>
              <w:pStyle w:val="2ColumnBody"/>
              <w:spacing w:before="120"/>
              <w:jc w:val="center"/>
              <w:rPr>
                <w:b/>
              </w:rPr>
            </w:pPr>
            <w:r>
              <w:rPr>
                <w:b/>
              </w:rPr>
              <w:t>38%</w:t>
            </w:r>
          </w:p>
        </w:tc>
        <w:tc>
          <w:tcPr>
            <w:tcW w:w="2182" w:type="dxa"/>
            <w:shd w:val="clear" w:color="auto" w:fill="99CCFF"/>
            <w:vAlign w:val="center"/>
          </w:tcPr>
          <w:p w:rsidR="00723D79" w:rsidRPr="00351C3D" w:rsidRDefault="00723D79" w:rsidP="00171972">
            <w:pPr>
              <w:pStyle w:val="2ColumnBody"/>
              <w:spacing w:before="120"/>
              <w:jc w:val="center"/>
              <w:rPr>
                <w:b/>
              </w:rPr>
            </w:pPr>
            <w:r>
              <w:rPr>
                <w:b/>
              </w:rPr>
              <w:t>38%</w:t>
            </w:r>
          </w:p>
        </w:tc>
      </w:tr>
    </w:tbl>
    <w:p w:rsidR="00723D79" w:rsidRDefault="00723D79" w:rsidP="00723D79">
      <w:pPr>
        <w:widowControl w:val="0"/>
        <w:spacing w:line="312" w:lineRule="auto"/>
        <w:ind w:right="425"/>
        <w:rPr>
          <w:b/>
          <w:lang w:val="de-DE"/>
        </w:rPr>
      </w:pPr>
    </w:p>
    <w:p w:rsidR="00723D79" w:rsidRDefault="00723D79" w:rsidP="00723D79">
      <w:pPr>
        <w:widowControl w:val="0"/>
        <w:spacing w:line="312" w:lineRule="auto"/>
        <w:ind w:right="425"/>
        <w:rPr>
          <w:lang w:val="de-DE"/>
        </w:rPr>
      </w:pPr>
      <w:r w:rsidRPr="006E2BF4">
        <w:rPr>
          <w:b/>
          <w:lang w:val="de-DE"/>
        </w:rPr>
        <w:t>Prospektive oder retrospektive Abstimmung</w:t>
      </w:r>
      <w:r w:rsidRPr="006E2BF4">
        <w:rPr>
          <w:b/>
          <w:lang w:val="de-DE"/>
        </w:rPr>
        <w:br/>
      </w:r>
      <w:r w:rsidRPr="00171972">
        <w:rPr>
          <w:lang w:val="de-DE"/>
        </w:rPr>
        <w:t>Prozentsatz der Unternehmen, welche die prospektive bzw. die retrospektive Abstimmung über STIs gewählt haben und derjenigen, die eine flexible Wahl zwischen den beiden Modellen vo</w:t>
      </w:r>
      <w:r w:rsidRPr="00171972">
        <w:rPr>
          <w:lang w:val="de-DE"/>
        </w:rPr>
        <w:t>r</w:t>
      </w:r>
      <w:r w:rsidRPr="00171972">
        <w:rPr>
          <w:lang w:val="de-DE"/>
        </w:rPr>
        <w:t>sehen</w:t>
      </w:r>
      <w:r>
        <w:rPr>
          <w:lang w:val="de-DE"/>
        </w:rPr>
        <w:t>:</w:t>
      </w:r>
    </w:p>
    <w:p w:rsidR="00723D79" w:rsidRPr="006E2BF4" w:rsidRDefault="00723D79" w:rsidP="00723D79">
      <w:pPr>
        <w:widowControl w:val="0"/>
        <w:spacing w:line="312" w:lineRule="auto"/>
        <w:ind w:right="425"/>
        <w:rPr>
          <w:lang w:val="de-DE"/>
        </w:rPr>
      </w:pPr>
    </w:p>
    <w:tbl>
      <w:tblPr>
        <w:tblW w:w="64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tblPr>
      <w:tblGrid>
        <w:gridCol w:w="4320"/>
        <w:gridCol w:w="2160"/>
      </w:tblGrid>
      <w:tr w:rsidR="00723D79" w:rsidRPr="00351C3D">
        <w:tc>
          <w:tcPr>
            <w:tcW w:w="6480" w:type="dxa"/>
            <w:gridSpan w:val="2"/>
            <w:shd w:val="clear" w:color="auto" w:fill="99CCFF"/>
            <w:vAlign w:val="center"/>
          </w:tcPr>
          <w:p w:rsidR="00723D79" w:rsidRPr="00351C3D" w:rsidRDefault="00723D79" w:rsidP="00171972">
            <w:pPr>
              <w:pStyle w:val="2ColumnBody"/>
              <w:spacing w:before="120"/>
              <w:jc w:val="center"/>
              <w:rPr>
                <w:b/>
              </w:rPr>
            </w:pPr>
            <w:r>
              <w:rPr>
                <w:b/>
              </w:rPr>
              <w:t>Abstimmung zu STIs</w:t>
            </w:r>
          </w:p>
        </w:tc>
      </w:tr>
      <w:tr w:rsidR="00723D79" w:rsidRPr="00351C3D">
        <w:tc>
          <w:tcPr>
            <w:tcW w:w="4320" w:type="dxa"/>
            <w:shd w:val="clear" w:color="auto" w:fill="99CCFF"/>
            <w:vAlign w:val="center"/>
          </w:tcPr>
          <w:p w:rsidR="00723D79" w:rsidRPr="00351C3D" w:rsidRDefault="00723D79" w:rsidP="00171972">
            <w:pPr>
              <w:pStyle w:val="2ColumnBody"/>
              <w:spacing w:before="120"/>
              <w:jc w:val="center"/>
              <w:rPr>
                <w:b/>
              </w:rPr>
            </w:pPr>
            <w:r>
              <w:rPr>
                <w:b/>
              </w:rPr>
              <w:t>Prospektive Abstimmung</w:t>
            </w:r>
          </w:p>
        </w:tc>
        <w:tc>
          <w:tcPr>
            <w:tcW w:w="2160" w:type="dxa"/>
            <w:shd w:val="clear" w:color="auto" w:fill="99CCFF"/>
            <w:vAlign w:val="center"/>
          </w:tcPr>
          <w:p w:rsidR="00723D79" w:rsidRPr="00351C3D" w:rsidRDefault="00723D79" w:rsidP="00171972">
            <w:pPr>
              <w:pStyle w:val="2ColumnBody"/>
              <w:spacing w:before="120"/>
              <w:jc w:val="center"/>
              <w:rPr>
                <w:b/>
              </w:rPr>
            </w:pPr>
            <w:r>
              <w:rPr>
                <w:b/>
              </w:rPr>
              <w:t>46%</w:t>
            </w:r>
          </w:p>
        </w:tc>
      </w:tr>
      <w:tr w:rsidR="00723D79" w:rsidRPr="00351C3D">
        <w:tc>
          <w:tcPr>
            <w:tcW w:w="4320" w:type="dxa"/>
            <w:shd w:val="clear" w:color="auto" w:fill="99CCFF"/>
            <w:vAlign w:val="center"/>
          </w:tcPr>
          <w:p w:rsidR="00723D79" w:rsidRPr="00351C3D" w:rsidRDefault="00723D79" w:rsidP="00171972">
            <w:pPr>
              <w:pStyle w:val="2ColumnBody"/>
              <w:spacing w:before="120"/>
              <w:jc w:val="center"/>
              <w:rPr>
                <w:b/>
              </w:rPr>
            </w:pPr>
            <w:r>
              <w:rPr>
                <w:b/>
              </w:rPr>
              <w:t>Retrospektive Abstimmung</w:t>
            </w:r>
          </w:p>
        </w:tc>
        <w:tc>
          <w:tcPr>
            <w:tcW w:w="2160" w:type="dxa"/>
            <w:shd w:val="clear" w:color="auto" w:fill="99CCFF"/>
            <w:vAlign w:val="center"/>
          </w:tcPr>
          <w:p w:rsidR="00723D79" w:rsidRPr="00351C3D" w:rsidRDefault="00723D79" w:rsidP="00171972">
            <w:pPr>
              <w:pStyle w:val="2ColumnBody"/>
              <w:spacing w:before="120"/>
              <w:jc w:val="center"/>
              <w:rPr>
                <w:b/>
              </w:rPr>
            </w:pPr>
            <w:r>
              <w:rPr>
                <w:b/>
              </w:rPr>
              <w:t>27%</w:t>
            </w:r>
          </w:p>
        </w:tc>
      </w:tr>
      <w:tr w:rsidR="00723D79" w:rsidRPr="00351C3D">
        <w:tc>
          <w:tcPr>
            <w:tcW w:w="4320" w:type="dxa"/>
            <w:shd w:val="clear" w:color="auto" w:fill="99CCFF"/>
            <w:vAlign w:val="center"/>
          </w:tcPr>
          <w:p w:rsidR="00723D79" w:rsidRPr="00351C3D" w:rsidRDefault="00723D79" w:rsidP="00171972">
            <w:pPr>
              <w:pStyle w:val="2ColumnBody"/>
              <w:spacing w:before="120"/>
              <w:jc w:val="center"/>
              <w:rPr>
                <w:b/>
              </w:rPr>
            </w:pPr>
            <w:r>
              <w:rPr>
                <w:b/>
              </w:rPr>
              <w:t>Statuten lassen beides zu</w:t>
            </w:r>
          </w:p>
        </w:tc>
        <w:tc>
          <w:tcPr>
            <w:tcW w:w="2160" w:type="dxa"/>
            <w:shd w:val="clear" w:color="auto" w:fill="99CCFF"/>
            <w:vAlign w:val="center"/>
          </w:tcPr>
          <w:p w:rsidR="00723D79" w:rsidRPr="00351C3D" w:rsidRDefault="00723D79" w:rsidP="00171972">
            <w:pPr>
              <w:pStyle w:val="2ColumnBody"/>
              <w:spacing w:before="120"/>
              <w:jc w:val="center"/>
              <w:rPr>
                <w:b/>
              </w:rPr>
            </w:pPr>
            <w:r>
              <w:rPr>
                <w:b/>
              </w:rPr>
              <w:t>8%</w:t>
            </w:r>
          </w:p>
        </w:tc>
      </w:tr>
      <w:tr w:rsidR="00723D79" w:rsidRPr="00351C3D">
        <w:tc>
          <w:tcPr>
            <w:tcW w:w="4320" w:type="dxa"/>
            <w:shd w:val="clear" w:color="auto" w:fill="99CCFF"/>
            <w:vAlign w:val="center"/>
          </w:tcPr>
          <w:p w:rsidR="00723D79" w:rsidRPr="00351C3D" w:rsidRDefault="00723D79" w:rsidP="00171972">
            <w:pPr>
              <w:pStyle w:val="2ColumnBody"/>
              <w:spacing w:before="120"/>
              <w:jc w:val="center"/>
              <w:rPr>
                <w:b/>
              </w:rPr>
            </w:pPr>
            <w:r>
              <w:rPr>
                <w:b/>
              </w:rPr>
              <w:t>Keine Angaben</w:t>
            </w:r>
          </w:p>
        </w:tc>
        <w:tc>
          <w:tcPr>
            <w:tcW w:w="2160" w:type="dxa"/>
            <w:shd w:val="clear" w:color="auto" w:fill="99CCFF"/>
            <w:vAlign w:val="center"/>
          </w:tcPr>
          <w:p w:rsidR="00723D79" w:rsidRPr="00351C3D" w:rsidRDefault="00723D79" w:rsidP="00171972">
            <w:pPr>
              <w:pStyle w:val="2ColumnBody"/>
              <w:spacing w:before="120"/>
              <w:jc w:val="center"/>
              <w:rPr>
                <w:b/>
              </w:rPr>
            </w:pPr>
            <w:r>
              <w:rPr>
                <w:b/>
              </w:rPr>
              <w:t>19%</w:t>
            </w:r>
          </w:p>
        </w:tc>
      </w:tr>
    </w:tbl>
    <w:p w:rsidR="00723D79" w:rsidRDefault="00723D79" w:rsidP="00723D79">
      <w:pPr>
        <w:widowControl w:val="0"/>
        <w:spacing w:line="312" w:lineRule="auto"/>
        <w:ind w:right="425"/>
        <w:rPr>
          <w:b/>
          <w:lang w:val="de-DE"/>
        </w:rPr>
      </w:pPr>
    </w:p>
    <w:tbl>
      <w:tblPr>
        <w:tblW w:w="9072" w:type="dxa"/>
        <w:tblInd w:w="108" w:type="dxa"/>
        <w:tblLayout w:type="fixed"/>
        <w:tblLook w:val="00A0"/>
      </w:tblPr>
      <w:tblGrid>
        <w:gridCol w:w="1985"/>
        <w:gridCol w:w="7087"/>
      </w:tblGrid>
      <w:tr w:rsidR="00723D79" w:rsidRPr="00E720ED">
        <w:trPr>
          <w:trHeight w:val="2410"/>
        </w:trPr>
        <w:tc>
          <w:tcPr>
            <w:tcW w:w="1985" w:type="dxa"/>
          </w:tcPr>
          <w:p w:rsidR="00723D79" w:rsidRPr="00124AF2" w:rsidRDefault="00723D79" w:rsidP="00FC6215">
            <w:pPr>
              <w:widowControl w:val="0"/>
              <w:tabs>
                <w:tab w:val="left" w:pos="3969"/>
              </w:tabs>
              <w:spacing w:line="220" w:lineRule="atLeast"/>
              <w:ind w:right="176"/>
              <w:rPr>
                <w:rFonts w:cs="Calibri"/>
                <w:sz w:val="16"/>
                <w:szCs w:val="26"/>
                <w:lang w:val="de-CH"/>
              </w:rPr>
            </w:pPr>
            <w:r>
              <w:rPr>
                <w:rFonts w:cs="Calibri"/>
                <w:noProof/>
                <w:sz w:val="16"/>
                <w:szCs w:val="26"/>
                <w:lang w:val="de-DE"/>
              </w:rPr>
              <w:drawing>
                <wp:inline distT="0" distB="0" distL="0" distR="0">
                  <wp:extent cx="1125855" cy="1515745"/>
                  <wp:effectExtent l="25400" t="0" r="0" b="0"/>
                  <wp:docPr id="13" name="Bild 1" descr=":::Bildschirmfoto 2014-01-21 um 09.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4-01-21 um 09.35.32.png"/>
                          <pic:cNvPicPr>
                            <a:picLocks noChangeAspect="1" noChangeArrowheads="1"/>
                          </pic:cNvPicPr>
                        </pic:nvPicPr>
                        <pic:blipFill>
                          <a:blip r:embed="rId7"/>
                          <a:srcRect/>
                          <a:stretch>
                            <a:fillRect/>
                          </a:stretch>
                        </pic:blipFill>
                        <pic:spPr bwMode="auto">
                          <a:xfrm>
                            <a:off x="0" y="0"/>
                            <a:ext cx="1125855" cy="1515745"/>
                          </a:xfrm>
                          <a:prstGeom prst="rect">
                            <a:avLst/>
                          </a:prstGeom>
                          <a:noFill/>
                          <a:ln w="9525">
                            <a:noFill/>
                            <a:miter lim="800000"/>
                            <a:headEnd/>
                            <a:tailEnd/>
                          </a:ln>
                        </pic:spPr>
                      </pic:pic>
                    </a:graphicData>
                  </a:graphic>
                </wp:inline>
              </w:drawing>
            </w:r>
          </w:p>
        </w:tc>
        <w:tc>
          <w:tcPr>
            <w:tcW w:w="7087" w:type="dxa"/>
          </w:tcPr>
          <w:p w:rsidR="00723D79" w:rsidRPr="00C3581D" w:rsidRDefault="00723D79" w:rsidP="00FC6215">
            <w:pPr>
              <w:widowControl w:val="0"/>
              <w:spacing w:line="220" w:lineRule="atLeast"/>
              <w:ind w:left="34" w:right="742"/>
              <w:rPr>
                <w:rFonts w:cs="Calibri"/>
                <w:sz w:val="16"/>
                <w:szCs w:val="26"/>
                <w:lang w:val="de-CH"/>
              </w:rPr>
            </w:pPr>
          </w:p>
          <w:p w:rsidR="00723D79" w:rsidRPr="00C3581D" w:rsidRDefault="00723D79" w:rsidP="00FC6215">
            <w:pPr>
              <w:widowControl w:val="0"/>
              <w:spacing w:line="220" w:lineRule="atLeast"/>
              <w:ind w:left="34" w:right="742"/>
              <w:rPr>
                <w:rFonts w:cs="Calibri"/>
                <w:sz w:val="16"/>
                <w:szCs w:val="26"/>
                <w:lang w:val="de-CH"/>
              </w:rPr>
            </w:pPr>
          </w:p>
          <w:p w:rsidR="00723D79" w:rsidRPr="00C3581D" w:rsidRDefault="00723D79" w:rsidP="00FC6215">
            <w:pPr>
              <w:widowControl w:val="0"/>
              <w:spacing w:line="220" w:lineRule="atLeast"/>
              <w:ind w:left="34" w:right="742"/>
              <w:rPr>
                <w:rFonts w:cs="Calibri"/>
                <w:sz w:val="16"/>
                <w:szCs w:val="26"/>
                <w:lang w:val="de-CH"/>
              </w:rPr>
            </w:pPr>
          </w:p>
          <w:p w:rsidR="00723D79" w:rsidRPr="00C3581D" w:rsidRDefault="00723D79" w:rsidP="00FC6215">
            <w:pPr>
              <w:widowControl w:val="0"/>
              <w:spacing w:line="220" w:lineRule="atLeast"/>
              <w:ind w:left="34" w:right="742"/>
              <w:rPr>
                <w:rFonts w:cs="Calibri"/>
                <w:sz w:val="16"/>
                <w:szCs w:val="26"/>
                <w:lang w:val="de-CH"/>
              </w:rPr>
            </w:pPr>
          </w:p>
          <w:p w:rsidR="00723D79" w:rsidRPr="00C3581D" w:rsidRDefault="00723D79" w:rsidP="00FC6215">
            <w:pPr>
              <w:widowControl w:val="0"/>
              <w:spacing w:line="220" w:lineRule="atLeast"/>
              <w:ind w:left="34" w:right="742"/>
              <w:rPr>
                <w:rFonts w:cs="Calibri"/>
                <w:sz w:val="16"/>
                <w:szCs w:val="26"/>
                <w:lang w:val="de-CH"/>
              </w:rPr>
            </w:pPr>
          </w:p>
          <w:p w:rsidR="00723D79" w:rsidRPr="00C3581D" w:rsidRDefault="00723D79" w:rsidP="00FC6215">
            <w:pPr>
              <w:widowControl w:val="0"/>
              <w:spacing w:line="220" w:lineRule="atLeast"/>
              <w:ind w:left="34" w:right="742"/>
              <w:rPr>
                <w:rFonts w:cs="Calibri"/>
                <w:sz w:val="16"/>
                <w:szCs w:val="26"/>
                <w:lang w:val="de-CH"/>
              </w:rPr>
            </w:pPr>
          </w:p>
          <w:p w:rsidR="00723D79" w:rsidRPr="00C3581D" w:rsidRDefault="00723D79" w:rsidP="00FC6215">
            <w:pPr>
              <w:widowControl w:val="0"/>
              <w:spacing w:line="220" w:lineRule="atLeast"/>
              <w:ind w:left="34" w:right="742"/>
              <w:rPr>
                <w:rFonts w:cs="Calibri"/>
                <w:sz w:val="16"/>
                <w:szCs w:val="26"/>
                <w:lang w:val="de-CH"/>
              </w:rPr>
            </w:pPr>
          </w:p>
          <w:p w:rsidR="00723D79" w:rsidRPr="00C3581D" w:rsidRDefault="00723D79" w:rsidP="00FC6215">
            <w:pPr>
              <w:widowControl w:val="0"/>
              <w:spacing w:line="220" w:lineRule="atLeast"/>
              <w:ind w:left="34" w:right="742"/>
              <w:rPr>
                <w:rFonts w:cs="Calibri"/>
                <w:sz w:val="16"/>
                <w:szCs w:val="26"/>
                <w:lang w:val="de-CH"/>
              </w:rPr>
            </w:pPr>
          </w:p>
          <w:p w:rsidR="00723D79" w:rsidRPr="00CF79B9" w:rsidRDefault="00723D79" w:rsidP="00FC6215">
            <w:pPr>
              <w:widowControl w:val="0"/>
              <w:spacing w:line="220" w:lineRule="atLeast"/>
              <w:ind w:left="34" w:right="742"/>
              <w:rPr>
                <w:rFonts w:cs="Calibri"/>
                <w:b/>
                <w:sz w:val="16"/>
                <w:szCs w:val="26"/>
                <w:lang w:val="en-US"/>
              </w:rPr>
            </w:pPr>
            <w:r w:rsidRPr="00753B9F">
              <w:rPr>
                <w:rFonts w:cs="Calibri"/>
                <w:b/>
                <w:sz w:val="16"/>
                <w:szCs w:val="26"/>
                <w:lang w:val="en-US"/>
              </w:rPr>
              <w:t>Sacha Cahn, Practice Leader Executive Rewards, New Bridge Street / Aon Hewitt Schweiz</w:t>
            </w:r>
          </w:p>
        </w:tc>
      </w:tr>
    </w:tbl>
    <w:p w:rsidR="00723D79" w:rsidRPr="00CF79B9" w:rsidRDefault="00723D79" w:rsidP="00723D79">
      <w:pPr>
        <w:widowControl w:val="0"/>
        <w:spacing w:line="312" w:lineRule="auto"/>
        <w:ind w:right="992"/>
        <w:rPr>
          <w:rFonts w:ascii="Helvetica" w:hAnsi="Helvetica"/>
          <w:sz w:val="16"/>
          <w:lang w:val="en-US"/>
        </w:rPr>
      </w:pPr>
    </w:p>
    <w:p w:rsidR="00723D79" w:rsidRDefault="00723D79" w:rsidP="00723D79">
      <w:pPr>
        <w:widowControl w:val="0"/>
        <w:spacing w:line="312" w:lineRule="auto"/>
        <w:ind w:right="992"/>
        <w:rPr>
          <w:rFonts w:ascii="Helvetica" w:hAnsi="Helvetica"/>
          <w:sz w:val="16"/>
          <w:lang w:val="de-DE"/>
        </w:rPr>
      </w:pPr>
      <w:r w:rsidRPr="00AC4393">
        <w:rPr>
          <w:rFonts w:ascii="Helvetica" w:hAnsi="Helvetica"/>
          <w:sz w:val="16"/>
          <w:lang w:val="de-DE"/>
        </w:rPr>
        <w:t xml:space="preserve">Das hochaufgelöste Bild steht unter </w:t>
      </w:r>
      <w:hyperlink r:id="rId8" w:history="1">
        <w:r w:rsidRPr="00AC4393">
          <w:rPr>
            <w:rFonts w:ascii="Helvetica" w:hAnsi="Helvetica"/>
            <w:sz w:val="16"/>
            <w:lang w:val="de-DE"/>
          </w:rPr>
          <w:t>www.press-n-relations.ch</w:t>
        </w:r>
      </w:hyperlink>
      <w:r w:rsidRPr="00AC4393">
        <w:rPr>
          <w:rFonts w:ascii="Helvetica" w:hAnsi="Helvetica"/>
          <w:sz w:val="16"/>
          <w:lang w:val="de-DE"/>
        </w:rPr>
        <w:t xml:space="preserve"> zum Down</w:t>
      </w:r>
      <w:r>
        <w:rPr>
          <w:rFonts w:ascii="Helvetica" w:hAnsi="Helvetica"/>
          <w:sz w:val="16"/>
          <w:lang w:val="de-DE"/>
        </w:rPr>
        <w:t>load bereit (im Anhang zum dort</w:t>
      </w:r>
      <w:r>
        <w:rPr>
          <w:rFonts w:ascii="Helvetica" w:hAnsi="Helvetica"/>
          <w:sz w:val="16"/>
          <w:lang w:val="de-DE"/>
        </w:rPr>
        <w:br/>
      </w:r>
      <w:r w:rsidRPr="00AC4393">
        <w:rPr>
          <w:rFonts w:ascii="Helvetica" w:hAnsi="Helvetica"/>
          <w:sz w:val="16"/>
          <w:lang w:val="de-DE"/>
        </w:rPr>
        <w:t xml:space="preserve">veröffentlichten Text). </w:t>
      </w:r>
    </w:p>
    <w:p w:rsidR="00723D79" w:rsidRPr="00562C2C" w:rsidRDefault="00723D79" w:rsidP="00723D79">
      <w:pPr>
        <w:widowControl w:val="0"/>
        <w:spacing w:line="312" w:lineRule="auto"/>
        <w:ind w:right="992"/>
        <w:rPr>
          <w:rFonts w:ascii="Helvetica" w:hAnsi="Helvetica"/>
          <w:sz w:val="16"/>
          <w:lang w:val="de-DE"/>
        </w:rPr>
      </w:pPr>
    </w:p>
    <w:tbl>
      <w:tblPr>
        <w:tblW w:w="9142" w:type="dxa"/>
        <w:tblCellMar>
          <w:left w:w="70" w:type="dxa"/>
          <w:right w:w="70" w:type="dxa"/>
        </w:tblCellMar>
        <w:tblLook w:val="0000"/>
      </w:tblPr>
      <w:tblGrid>
        <w:gridCol w:w="4606"/>
        <w:gridCol w:w="4536"/>
      </w:tblGrid>
      <w:tr w:rsidR="00723D79" w:rsidRPr="004369B0">
        <w:trPr>
          <w:trHeight w:val="1064"/>
        </w:trPr>
        <w:tc>
          <w:tcPr>
            <w:tcW w:w="4606" w:type="dxa"/>
          </w:tcPr>
          <w:p w:rsidR="00723D79" w:rsidRPr="00FD2298" w:rsidRDefault="00723D79" w:rsidP="007067FA">
            <w:pPr>
              <w:ind w:right="72"/>
              <w:rPr>
                <w:sz w:val="16"/>
                <w:lang w:val="de-DE"/>
              </w:rPr>
            </w:pPr>
            <w:r w:rsidRPr="00FD2298">
              <w:rPr>
                <w:b/>
                <w:sz w:val="16"/>
                <w:lang w:val="de-DE"/>
              </w:rPr>
              <w:t>Kontakt:</w:t>
            </w:r>
            <w:r w:rsidRPr="00FD2298">
              <w:rPr>
                <w:sz w:val="16"/>
                <w:lang w:val="de-DE"/>
              </w:rPr>
              <w:br/>
              <w:t xml:space="preserve">Aon </w:t>
            </w:r>
            <w:r w:rsidRPr="00FD2298">
              <w:rPr>
                <w:noProof/>
                <w:sz w:val="16"/>
                <w:szCs w:val="18"/>
                <w:lang w:val="de-CH"/>
              </w:rPr>
              <w:t xml:space="preserve">Hewitt (Switzerland) AG – </w:t>
            </w:r>
            <w:r>
              <w:rPr>
                <w:noProof/>
                <w:sz w:val="16"/>
                <w:szCs w:val="18"/>
                <w:lang w:val="de-CH"/>
              </w:rPr>
              <w:t>Fabio Peyer</w:t>
            </w:r>
          </w:p>
          <w:p w:rsidR="00723D79" w:rsidRPr="001252FF" w:rsidRDefault="00723D79" w:rsidP="007067FA">
            <w:pPr>
              <w:ind w:right="72"/>
              <w:rPr>
                <w:sz w:val="16"/>
                <w:szCs w:val="18"/>
                <w:lang w:val="de-DE"/>
              </w:rPr>
            </w:pPr>
            <w:r w:rsidRPr="001252FF">
              <w:rPr>
                <w:sz w:val="16"/>
                <w:lang w:val="de-DE"/>
              </w:rPr>
              <w:t>Lagerstrasse 33 – 8021 Zürich</w:t>
            </w:r>
            <w:r w:rsidRPr="001252FF">
              <w:rPr>
                <w:sz w:val="16"/>
                <w:lang w:val="de-DE"/>
              </w:rPr>
              <w:br/>
              <w:t>Tel.: +41 58 266 88 22</w:t>
            </w:r>
            <w:r w:rsidRPr="001252FF">
              <w:rPr>
                <w:sz w:val="16"/>
                <w:lang w:val="de-DE"/>
              </w:rPr>
              <w:br/>
            </w:r>
            <w:hyperlink r:id="rId9" w:history="1">
              <w:r w:rsidRPr="001252FF">
                <w:rPr>
                  <w:noProof/>
                  <w:sz w:val="16"/>
                  <w:szCs w:val="18"/>
                  <w:lang w:val="de-CH"/>
                </w:rPr>
                <w:t>fabio.peyer@aonhewitt.com</w:t>
              </w:r>
            </w:hyperlink>
            <w:r w:rsidRPr="001252FF">
              <w:rPr>
                <w:noProof/>
                <w:sz w:val="16"/>
                <w:szCs w:val="18"/>
                <w:lang w:val="de-CH"/>
              </w:rPr>
              <w:t xml:space="preserve"> – ww.aonhewitt.ch</w:t>
            </w:r>
          </w:p>
        </w:tc>
        <w:tc>
          <w:tcPr>
            <w:tcW w:w="4536" w:type="dxa"/>
          </w:tcPr>
          <w:p w:rsidR="00723D79" w:rsidRPr="00FD2298" w:rsidRDefault="00723D79" w:rsidP="007067FA">
            <w:pPr>
              <w:rPr>
                <w:sz w:val="16"/>
                <w:lang w:val="de-DE"/>
              </w:rPr>
            </w:pPr>
            <w:r w:rsidRPr="00FD2298">
              <w:rPr>
                <w:b/>
                <w:sz w:val="16"/>
                <w:lang w:val="de-DE"/>
              </w:rPr>
              <w:t>Presse- und Öffentlichkeitsarbeit:</w:t>
            </w:r>
            <w:r w:rsidRPr="00FD2298">
              <w:rPr>
                <w:sz w:val="16"/>
                <w:lang w:val="de-DE"/>
              </w:rPr>
              <w:br/>
            </w:r>
            <w:r w:rsidRPr="00FD2298">
              <w:rPr>
                <w:noProof/>
                <w:sz w:val="16"/>
                <w:szCs w:val="18"/>
                <w:lang w:val="de-CH"/>
              </w:rPr>
              <w:t>Press’n’Relations GmbH – Markus Häfliger</w:t>
            </w:r>
          </w:p>
          <w:p w:rsidR="00723D79" w:rsidRPr="00FD2298" w:rsidRDefault="00723D79" w:rsidP="007067FA">
            <w:pPr>
              <w:rPr>
                <w:sz w:val="16"/>
                <w:lang w:val="de-DE"/>
              </w:rPr>
            </w:pPr>
            <w:r w:rsidRPr="00FD2298">
              <w:rPr>
                <w:noProof/>
                <w:sz w:val="16"/>
                <w:szCs w:val="18"/>
                <w:lang w:val="de-CH"/>
              </w:rPr>
              <w:t>Hirsl</w:t>
            </w:r>
            <w:r>
              <w:rPr>
                <w:noProof/>
                <w:sz w:val="16"/>
                <w:szCs w:val="18"/>
                <w:lang w:val="de-CH"/>
              </w:rPr>
              <w:t>anderstrasse 51 – 8032 Zürich</w:t>
            </w:r>
            <w:r>
              <w:rPr>
                <w:noProof/>
                <w:sz w:val="16"/>
                <w:szCs w:val="18"/>
                <w:lang w:val="de-CH"/>
              </w:rPr>
              <w:br/>
              <w:t>Te</w:t>
            </w:r>
            <w:r w:rsidRPr="00FD2298">
              <w:rPr>
                <w:noProof/>
                <w:sz w:val="16"/>
                <w:szCs w:val="18"/>
                <w:lang w:val="de-CH"/>
              </w:rPr>
              <w:t>l.:</w:t>
            </w:r>
            <w:r w:rsidRPr="00FD2298">
              <w:rPr>
                <w:sz w:val="16"/>
                <w:szCs w:val="18"/>
                <w:lang w:val="de-DE"/>
              </w:rPr>
              <w:t xml:space="preserve"> </w:t>
            </w:r>
            <w:r w:rsidRPr="00FD2298">
              <w:rPr>
                <w:noProof/>
                <w:sz w:val="16"/>
                <w:szCs w:val="18"/>
                <w:lang w:val="de-CH"/>
              </w:rPr>
              <w:t>+41 43 344 58 65 – Fax:</w:t>
            </w:r>
            <w:r w:rsidRPr="00FD2298">
              <w:rPr>
                <w:sz w:val="16"/>
                <w:szCs w:val="18"/>
                <w:lang w:val="de-DE"/>
              </w:rPr>
              <w:t xml:space="preserve"> +41 43 344 58 69</w:t>
            </w:r>
            <w:r w:rsidRPr="00FD2298">
              <w:rPr>
                <w:sz w:val="16"/>
                <w:szCs w:val="18"/>
                <w:lang w:val="de-DE"/>
              </w:rPr>
              <w:br/>
              <w:t>mh@press-n-relations.ch –</w:t>
            </w:r>
            <w:r w:rsidRPr="00FD2298">
              <w:rPr>
                <w:noProof/>
                <w:sz w:val="16"/>
                <w:szCs w:val="18"/>
                <w:lang w:val="de-CH"/>
              </w:rPr>
              <w:t xml:space="preserve"> www.press-n-relations.ch</w:t>
            </w:r>
          </w:p>
        </w:tc>
      </w:tr>
    </w:tbl>
    <w:p w:rsidR="00723D79" w:rsidRDefault="00723D79" w:rsidP="00723D79">
      <w:pPr>
        <w:rPr>
          <w:sz w:val="18"/>
          <w:lang w:val="de-DE"/>
        </w:rPr>
      </w:pPr>
    </w:p>
    <w:p w:rsidR="00723D79" w:rsidRPr="00986963" w:rsidRDefault="00723D79" w:rsidP="00723D79">
      <w:pPr>
        <w:rPr>
          <w:sz w:val="18"/>
          <w:lang w:val="de-DE"/>
        </w:rPr>
      </w:pPr>
    </w:p>
    <w:p w:rsidR="00723D79" w:rsidRPr="00986963" w:rsidRDefault="00723D79" w:rsidP="00723D79">
      <w:pPr>
        <w:autoSpaceDE w:val="0"/>
        <w:autoSpaceDN w:val="0"/>
        <w:adjustRightInd w:val="0"/>
        <w:rPr>
          <w:b/>
          <w:sz w:val="18"/>
          <w:lang w:val="de-DE"/>
        </w:rPr>
      </w:pPr>
      <w:r w:rsidRPr="00986963">
        <w:rPr>
          <w:b/>
          <w:sz w:val="18"/>
          <w:lang w:val="de-DE"/>
        </w:rPr>
        <w:t>Über Aon Hewitt</w:t>
      </w:r>
    </w:p>
    <w:p w:rsidR="00723D79" w:rsidRPr="00986963" w:rsidRDefault="00723D79" w:rsidP="00723D79">
      <w:pPr>
        <w:rPr>
          <w:sz w:val="18"/>
          <w:lang w:val="de-DE"/>
        </w:rPr>
      </w:pPr>
      <w:r w:rsidRPr="00986963">
        <w:rPr>
          <w:sz w:val="18"/>
          <w:lang w:val="de-DE"/>
        </w:rPr>
        <w:t>Aon Hewitt ist weltweit führender Anbieter von Human Resources Lösungen. Das Unternehmen unterstützt seine Kunden bei der Lösung von komplexen Fragen rund um Benefits, Talente und damit verbundene finanz</w:t>
      </w:r>
      <w:r w:rsidRPr="00986963">
        <w:rPr>
          <w:sz w:val="18"/>
          <w:lang w:val="de-DE"/>
        </w:rPr>
        <w:t>i</w:t>
      </w:r>
      <w:r w:rsidRPr="00986963">
        <w:rPr>
          <w:sz w:val="18"/>
          <w:lang w:val="de-DE"/>
        </w:rPr>
        <w:t>elle Herausforderungen und zur Verbesserung ihrer Geschäfts</w:t>
      </w:r>
      <w:r w:rsidRPr="00986963">
        <w:rPr>
          <w:sz w:val="18"/>
          <w:lang w:val="de-DE"/>
        </w:rPr>
        <w:softHyphen/>
        <w:t>ergeb</w:t>
      </w:r>
      <w:r w:rsidRPr="00986963">
        <w:rPr>
          <w:sz w:val="18"/>
          <w:lang w:val="de-DE"/>
        </w:rPr>
        <w:softHyphen/>
        <w:t>nisse. Aon Hewitt entwickelt, implementiert, kommuniziert und verwaltet eine breite Palette von Strategien in den Bereichen Human Resources, berufliche Vorsorge, Investment Management, Krankenkasse, Vergütung und Talent-Management. Aon Hewitt ist weltweit mit 29'000 Mitarbeitern in 90 Ländern vertreten. In der Schweiz engagieren sich über 200 Mitarbeiter an den Standorten von Aon Hewitt in Bern, Neuchâtel, Nyon und Zürich. Weitere Informationen über Aon Hewitt finden Sie unter www.aonhewitt.ch.</w:t>
      </w:r>
    </w:p>
    <w:p w:rsidR="00723D79" w:rsidRPr="00502755" w:rsidRDefault="00723D79" w:rsidP="00723D79">
      <w:pPr>
        <w:rPr>
          <w:b/>
          <w:sz w:val="18"/>
          <w:lang w:val="de-CH"/>
        </w:rPr>
      </w:pPr>
    </w:p>
    <w:p w:rsidR="00723D79" w:rsidRDefault="00723D79" w:rsidP="00723D79">
      <w:pPr>
        <w:rPr>
          <w:b/>
          <w:sz w:val="18"/>
          <w:lang w:val="de-DE"/>
        </w:rPr>
      </w:pPr>
      <w:r>
        <w:rPr>
          <w:b/>
          <w:sz w:val="18"/>
          <w:lang w:val="de-DE"/>
        </w:rPr>
        <w:t>Über Aon</w:t>
      </w:r>
    </w:p>
    <w:p w:rsidR="00723D79" w:rsidRPr="00286D85" w:rsidRDefault="00723D79" w:rsidP="00723D79">
      <w:pPr>
        <w:rPr>
          <w:rFonts w:ascii="Times New Roman" w:hAnsi="Times New Roman"/>
          <w:color w:val="auto"/>
          <w:lang w:val="de-DE"/>
        </w:rPr>
      </w:pPr>
      <w:r w:rsidRPr="008E34FB">
        <w:rPr>
          <w:sz w:val="18"/>
          <w:lang w:val="de-DE"/>
        </w:rPr>
        <w:t>Der Aon Konzern ist der führende globale Dienstleister für Risikomanagement, HR-Lösungen und Outsourcing-Services sowie Versicherungs- und Rückversicherungsmakler. Weltweit ermöglichen es mehr als 65.000 Mita</w:t>
      </w:r>
      <w:r w:rsidRPr="008E34FB">
        <w:rPr>
          <w:sz w:val="18"/>
          <w:lang w:val="de-DE"/>
        </w:rPr>
        <w:t>r</w:t>
      </w:r>
      <w:r w:rsidRPr="008E34FB">
        <w:rPr>
          <w:sz w:val="18"/>
          <w:lang w:val="de-DE"/>
        </w:rPr>
        <w:t>beiter durch ihr branchenführendes Wissen und ihr technisches Know-how, Kunden in über 120 Ländern mit innovativen und effizienten Lösungen für Risikomanagement und Arbeitsproduktivität einen deutlichen Mehrwert zu bieten. Dafür wurde Aon mehrfach als weltbestes Broker-Unternehmen, Versicherungs- und Rückversich</w:t>
      </w:r>
      <w:r w:rsidRPr="008E34FB">
        <w:rPr>
          <w:sz w:val="18"/>
          <w:lang w:val="de-DE"/>
        </w:rPr>
        <w:t>e</w:t>
      </w:r>
      <w:r w:rsidRPr="008E34FB">
        <w:rPr>
          <w:sz w:val="18"/>
          <w:lang w:val="de-DE"/>
        </w:rPr>
        <w:t>rungsmakler, Captive Manager und Berater für Sozialleistungen ausgezeichnet. Weitere Informationen zu Aon gibt es unter www.aon.com, unter www.aon.com/unitedin2010 zudem alles über die globale Partnerschaft zw</w:t>
      </w:r>
      <w:r w:rsidRPr="008E34FB">
        <w:rPr>
          <w:sz w:val="18"/>
          <w:lang w:val="de-DE"/>
        </w:rPr>
        <w:t>i</w:t>
      </w:r>
      <w:r w:rsidRPr="008E34FB">
        <w:rPr>
          <w:sz w:val="18"/>
          <w:lang w:val="de-DE"/>
        </w:rPr>
        <w:t>schen Aon und Manchester United inklusive Trikotsponsoring des Vereins durch Aon.</w:t>
      </w:r>
    </w:p>
    <w:p w:rsidR="007067FA" w:rsidRPr="00286D85" w:rsidRDefault="007067FA">
      <w:pPr>
        <w:rPr>
          <w:rFonts w:ascii="Times New Roman" w:hAnsi="Times New Roman"/>
          <w:color w:val="auto"/>
          <w:lang w:val="de-DE"/>
        </w:rPr>
      </w:pPr>
    </w:p>
    <w:sectPr w:rsidR="007067FA" w:rsidRPr="00286D85" w:rsidSect="007067FA">
      <w:headerReference w:type="even" r:id="rId10"/>
      <w:headerReference w:type="default" r:id="rId11"/>
      <w:pgSz w:w="11900" w:h="16840"/>
      <w:pgMar w:top="2552" w:right="1416" w:bottom="1843" w:left="1560" w:header="567"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72" w:rsidRDefault="00171972">
      <w:r>
        <w:separator/>
      </w:r>
    </w:p>
  </w:endnote>
  <w:endnote w:type="continuationSeparator" w:id="0">
    <w:p w:rsidR="00171972" w:rsidRDefault="001719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Pro W3">
    <w:altName w:val="ＭＳ 明朝"/>
    <w:panose1 w:val="00000000000000000000"/>
    <w:charset w:val="80"/>
    <w:family w:val="auto"/>
    <w:notTrueType/>
    <w:pitch w:val="variable"/>
    <w:sig w:usb0="00000000"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72" w:rsidRDefault="00171972">
      <w:r>
        <w:separator/>
      </w:r>
    </w:p>
  </w:footnote>
  <w:footnote w:type="continuationSeparator" w:id="0">
    <w:p w:rsidR="00171972" w:rsidRDefault="001719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72" w:rsidRDefault="00171972">
    <w:pPr>
      <w:pStyle w:val="Kopfzeile"/>
      <w:spacing w:line="336" w:lineRule="auto"/>
      <w:rPr>
        <w:sz w:val="18"/>
        <w:lang w:val="de-DE"/>
      </w:rPr>
    </w:pPr>
  </w:p>
  <w:p w:rsidR="00171972" w:rsidRDefault="00171972">
    <w:pPr>
      <w:pStyle w:val="Kopfzeile"/>
      <w:spacing w:line="336" w:lineRule="auto"/>
      <w:rPr>
        <w:sz w:val="18"/>
      </w:rPr>
    </w:pPr>
  </w:p>
  <w:p w:rsidR="00171972" w:rsidRDefault="00171972">
    <w:pPr>
      <w:spacing w:line="336" w:lineRule="auto"/>
      <w:rPr>
        <w:sz w:val="18"/>
      </w:rPr>
    </w:pPr>
  </w:p>
  <w:p w:rsidR="00171972" w:rsidRDefault="00171972">
    <w:pPr>
      <w:pStyle w:val="Kopfzeile"/>
      <w:tabs>
        <w:tab w:val="clear" w:pos="4153"/>
        <w:tab w:val="clear" w:pos="8306"/>
        <w:tab w:val="left" w:pos="2715"/>
      </w:tabs>
      <w:ind w:left="720" w:hanging="720"/>
      <w:rPr>
        <w:rFonts w:ascii="Times New Roman" w:hAnsi="Times New Roman"/>
        <w:color w:val="auto"/>
        <w:lang w:val="de-DE"/>
      </w:rPr>
    </w:pPr>
    <w:r>
      <w:rPr>
        <w:color w:val="CF0006"/>
        <w:sz w:val="40"/>
        <w:lang w:val="de-DE"/>
      </w:rPr>
      <w:t>Pressemeldung</w:t>
    </w:r>
    <w:r>
      <w:rPr>
        <w:noProof/>
        <w:lang w:val="de-DE"/>
      </w:rPr>
      <w:drawing>
        <wp:anchor distT="0" distB="0" distL="114300" distR="114300" simplePos="0" relativeHeight="251660288" behindDoc="1" locked="0" layoutInCell="1" allowOverlap="1">
          <wp:simplePos x="0" y="0"/>
          <wp:positionH relativeFrom="page">
            <wp:posOffset>4785995</wp:posOffset>
          </wp:positionH>
          <wp:positionV relativeFrom="page">
            <wp:posOffset>512445</wp:posOffset>
          </wp:positionV>
          <wp:extent cx="2210435" cy="860425"/>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10435" cy="860425"/>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72" w:rsidRDefault="00171972">
    <w:pPr>
      <w:pStyle w:val="Kopfzeile"/>
      <w:spacing w:line="336" w:lineRule="auto"/>
      <w:rPr>
        <w:sz w:val="18"/>
        <w:lang w:val="de-DE"/>
      </w:rPr>
    </w:pPr>
  </w:p>
  <w:p w:rsidR="00171972" w:rsidRDefault="00171972">
    <w:pPr>
      <w:pStyle w:val="Kopfzeile"/>
      <w:spacing w:line="336" w:lineRule="auto"/>
      <w:rPr>
        <w:sz w:val="18"/>
      </w:rPr>
    </w:pPr>
  </w:p>
  <w:p w:rsidR="00171972" w:rsidRDefault="00171972">
    <w:pPr>
      <w:spacing w:line="336" w:lineRule="auto"/>
      <w:rPr>
        <w:sz w:val="18"/>
      </w:rPr>
    </w:pPr>
  </w:p>
  <w:p w:rsidR="00171972" w:rsidRDefault="00171972">
    <w:pPr>
      <w:pStyle w:val="Kopfzeile"/>
      <w:tabs>
        <w:tab w:val="clear" w:pos="4153"/>
        <w:tab w:val="clear" w:pos="8306"/>
        <w:tab w:val="left" w:pos="2715"/>
      </w:tabs>
      <w:ind w:left="720" w:hanging="720"/>
      <w:rPr>
        <w:rFonts w:ascii="Times New Roman" w:hAnsi="Times New Roman"/>
        <w:color w:val="auto"/>
        <w:lang w:val="de-DE"/>
      </w:rPr>
    </w:pPr>
    <w:r>
      <w:rPr>
        <w:noProof/>
        <w:lang w:val="de-DE"/>
      </w:rPr>
      <w:drawing>
        <wp:anchor distT="0" distB="0" distL="114300" distR="114300" simplePos="0" relativeHeight="251659264" behindDoc="1" locked="0" layoutInCell="1" allowOverlap="1">
          <wp:simplePos x="0" y="0"/>
          <wp:positionH relativeFrom="page">
            <wp:posOffset>4785995</wp:posOffset>
          </wp:positionH>
          <wp:positionV relativeFrom="page">
            <wp:posOffset>512445</wp:posOffset>
          </wp:positionV>
          <wp:extent cx="2210435" cy="860425"/>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10435" cy="860425"/>
                  </a:xfrm>
                  <a:prstGeom prst="rect">
                    <a:avLst/>
                  </a:prstGeom>
                  <a:noFill/>
                  <a:ln>
                    <a:noFill/>
                  </a:ln>
                </pic:spPr>
              </pic:pic>
            </a:graphicData>
          </a:graphic>
        </wp:anchor>
      </w:drawing>
    </w:r>
    <w:r>
      <w:rPr>
        <w:color w:val="CF0006"/>
        <w:sz w:val="40"/>
        <w:lang w:val="de-DE"/>
      </w:rPr>
      <w:t>Medienmitteilung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C0120"/>
    <w:multiLevelType w:val="hybridMultilevel"/>
    <w:tmpl w:val="AC187E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72364"/>
    <w:rsid w:val="00056E27"/>
    <w:rsid w:val="000D04E5"/>
    <w:rsid w:val="00141306"/>
    <w:rsid w:val="00171972"/>
    <w:rsid w:val="0026000A"/>
    <w:rsid w:val="00286D85"/>
    <w:rsid w:val="00310B8A"/>
    <w:rsid w:val="00331EDF"/>
    <w:rsid w:val="00382468"/>
    <w:rsid w:val="003D5BE7"/>
    <w:rsid w:val="00427DCD"/>
    <w:rsid w:val="005163C7"/>
    <w:rsid w:val="00556BFC"/>
    <w:rsid w:val="00562C2C"/>
    <w:rsid w:val="005728A7"/>
    <w:rsid w:val="005B0B5B"/>
    <w:rsid w:val="006453CF"/>
    <w:rsid w:val="00672364"/>
    <w:rsid w:val="006E2BF4"/>
    <w:rsid w:val="007067FA"/>
    <w:rsid w:val="00710A63"/>
    <w:rsid w:val="00710D3F"/>
    <w:rsid w:val="00723D79"/>
    <w:rsid w:val="00770E55"/>
    <w:rsid w:val="00782DD4"/>
    <w:rsid w:val="007A3905"/>
    <w:rsid w:val="007B0BC5"/>
    <w:rsid w:val="007D70C3"/>
    <w:rsid w:val="008520B0"/>
    <w:rsid w:val="0089514A"/>
    <w:rsid w:val="0090157A"/>
    <w:rsid w:val="00930873"/>
    <w:rsid w:val="009473B4"/>
    <w:rsid w:val="00960A2F"/>
    <w:rsid w:val="009C7C20"/>
    <w:rsid w:val="009E689F"/>
    <w:rsid w:val="009F5E85"/>
    <w:rsid w:val="00A865A1"/>
    <w:rsid w:val="00AC5AE2"/>
    <w:rsid w:val="00AF013E"/>
    <w:rsid w:val="00BD0834"/>
    <w:rsid w:val="00C552C4"/>
    <w:rsid w:val="00CD2BFE"/>
    <w:rsid w:val="00D15964"/>
    <w:rsid w:val="00D35C78"/>
    <w:rsid w:val="00EC6B57"/>
    <w:rsid w:val="00F60721"/>
    <w:rsid w:val="00FE2DE4"/>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364"/>
    <w:rPr>
      <w:rFonts w:ascii="Arial" w:eastAsia="?????? Pro W3" w:hAnsi="Arial" w:cs="Times New Roman"/>
      <w:color w:val="000000"/>
      <w:sz w:val="20"/>
      <w:szCs w:val="20"/>
      <w:lang w:val="en-GB"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autoRedefine/>
    <w:uiPriority w:val="99"/>
    <w:rsid w:val="00672364"/>
    <w:pPr>
      <w:tabs>
        <w:tab w:val="center" w:pos="4153"/>
        <w:tab w:val="right" w:pos="8306"/>
      </w:tabs>
    </w:pPr>
  </w:style>
  <w:style w:type="character" w:customStyle="1" w:styleId="KopfzeileZeichen">
    <w:name w:val="Kopfzeile Zeichen"/>
    <w:basedOn w:val="Absatzstandardschriftart"/>
    <w:link w:val="Kopfzeile"/>
    <w:uiPriority w:val="99"/>
    <w:rsid w:val="00672364"/>
    <w:rPr>
      <w:rFonts w:ascii="Arial" w:eastAsia="?????? Pro W3" w:hAnsi="Arial" w:cs="Times New Roman"/>
      <w:color w:val="000000"/>
      <w:sz w:val="20"/>
      <w:szCs w:val="20"/>
      <w:lang w:val="en-GB" w:eastAsia="de-DE"/>
    </w:rPr>
  </w:style>
  <w:style w:type="paragraph" w:styleId="Fuzeile">
    <w:name w:val="footer"/>
    <w:basedOn w:val="Standard"/>
    <w:link w:val="FuzeileZeichen"/>
    <w:uiPriority w:val="99"/>
    <w:semiHidden/>
    <w:unhideWhenUsed/>
    <w:rsid w:val="00672364"/>
    <w:pPr>
      <w:tabs>
        <w:tab w:val="center" w:pos="4536"/>
        <w:tab w:val="right" w:pos="9072"/>
      </w:tabs>
    </w:pPr>
  </w:style>
  <w:style w:type="character" w:customStyle="1" w:styleId="FuzeileZeichen">
    <w:name w:val="Fußzeile Zeichen"/>
    <w:basedOn w:val="Absatzstandardschriftart"/>
    <w:link w:val="Fuzeile"/>
    <w:uiPriority w:val="99"/>
    <w:semiHidden/>
    <w:rsid w:val="00672364"/>
    <w:rPr>
      <w:rFonts w:ascii="Arial" w:eastAsia="?????? Pro W3" w:hAnsi="Arial" w:cs="Times New Roman"/>
      <w:color w:val="000000"/>
      <w:sz w:val="20"/>
      <w:szCs w:val="20"/>
      <w:lang w:val="en-GB" w:eastAsia="de-DE"/>
    </w:rPr>
  </w:style>
  <w:style w:type="paragraph" w:customStyle="1" w:styleId="2ColumnBody">
    <w:name w:val="2 Column Body"/>
    <w:basedOn w:val="Standard"/>
    <w:rsid w:val="00056E27"/>
    <w:pPr>
      <w:spacing w:after="120"/>
    </w:pPr>
    <w:rPr>
      <w:rFonts w:eastAsia="MS Mincho"/>
      <w:color w:val="auto"/>
      <w:lang w:val="de-CH" w:eastAsia="de-CH"/>
    </w:rPr>
  </w:style>
  <w:style w:type="paragraph" w:styleId="Sprechblasentext">
    <w:name w:val="Balloon Text"/>
    <w:basedOn w:val="Standard"/>
    <w:link w:val="SprechblasentextZeichen"/>
    <w:uiPriority w:val="99"/>
    <w:semiHidden/>
    <w:unhideWhenUsed/>
    <w:rsid w:val="008951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9514A"/>
    <w:rPr>
      <w:rFonts w:ascii="Lucida Grande" w:eastAsia="?????? Pro W3" w:hAnsi="Lucida Grande" w:cs="Lucida Grande"/>
      <w:color w:val="000000"/>
      <w:sz w:val="18"/>
      <w:szCs w:val="18"/>
      <w:lang w:val="en-GB" w:eastAsia="de-DE"/>
    </w:rPr>
  </w:style>
  <w:style w:type="character" w:styleId="Kommentarzeichen">
    <w:name w:val="annotation reference"/>
    <w:basedOn w:val="Absatzstandardschriftart"/>
    <w:uiPriority w:val="99"/>
    <w:semiHidden/>
    <w:unhideWhenUsed/>
    <w:rsid w:val="0089514A"/>
    <w:rPr>
      <w:sz w:val="18"/>
      <w:szCs w:val="18"/>
    </w:rPr>
  </w:style>
  <w:style w:type="paragraph" w:styleId="Kommentartext">
    <w:name w:val="annotation text"/>
    <w:basedOn w:val="Standard"/>
    <w:link w:val="KommentartextZeichen"/>
    <w:uiPriority w:val="99"/>
    <w:semiHidden/>
    <w:unhideWhenUsed/>
    <w:rsid w:val="0089514A"/>
    <w:rPr>
      <w:sz w:val="24"/>
      <w:szCs w:val="24"/>
    </w:rPr>
  </w:style>
  <w:style w:type="character" w:customStyle="1" w:styleId="KommentartextZeichen">
    <w:name w:val="Kommentartext Zeichen"/>
    <w:basedOn w:val="Absatzstandardschriftart"/>
    <w:link w:val="Kommentartext"/>
    <w:uiPriority w:val="99"/>
    <w:semiHidden/>
    <w:rsid w:val="0089514A"/>
    <w:rPr>
      <w:rFonts w:ascii="Arial" w:eastAsia="?????? Pro W3" w:hAnsi="Arial" w:cs="Times New Roman"/>
      <w:color w:val="000000"/>
      <w:lang w:val="en-GB" w:eastAsia="de-DE"/>
    </w:rPr>
  </w:style>
  <w:style w:type="paragraph" w:styleId="Kommentarthema">
    <w:name w:val="annotation subject"/>
    <w:basedOn w:val="Kommentartext"/>
    <w:next w:val="Kommentartext"/>
    <w:link w:val="KommentarthemaZeichen"/>
    <w:uiPriority w:val="99"/>
    <w:semiHidden/>
    <w:unhideWhenUsed/>
    <w:rsid w:val="0089514A"/>
    <w:rPr>
      <w:b/>
      <w:bCs/>
      <w:sz w:val="20"/>
      <w:szCs w:val="20"/>
    </w:rPr>
  </w:style>
  <w:style w:type="character" w:customStyle="1" w:styleId="KommentarthemaZeichen">
    <w:name w:val="Kommentarthema Zeichen"/>
    <w:basedOn w:val="KommentartextZeichen"/>
    <w:link w:val="Kommentarthema"/>
    <w:uiPriority w:val="99"/>
    <w:semiHidden/>
    <w:rsid w:val="008951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64"/>
    <w:rPr>
      <w:rFonts w:ascii="Arial" w:eastAsia="?????? Pro W3" w:hAnsi="Arial" w:cs="Times New Roman"/>
      <w:color w:val="000000"/>
      <w:sz w:val="20"/>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72364"/>
    <w:pPr>
      <w:tabs>
        <w:tab w:val="center" w:pos="4153"/>
        <w:tab w:val="right" w:pos="8306"/>
      </w:tabs>
    </w:pPr>
  </w:style>
  <w:style w:type="character" w:customStyle="1" w:styleId="HeaderChar">
    <w:name w:val="Header Char"/>
    <w:basedOn w:val="DefaultParagraphFont"/>
    <w:link w:val="Header"/>
    <w:uiPriority w:val="99"/>
    <w:rsid w:val="00672364"/>
    <w:rPr>
      <w:rFonts w:ascii="Arial" w:eastAsia="?????? Pro W3" w:hAnsi="Arial" w:cs="Times New Roman"/>
      <w:color w:val="000000"/>
      <w:sz w:val="20"/>
      <w:szCs w:val="20"/>
      <w:lang w:val="en-GB" w:eastAsia="de-DE"/>
    </w:rPr>
  </w:style>
  <w:style w:type="paragraph" w:styleId="Footer">
    <w:name w:val="footer"/>
    <w:basedOn w:val="Normal"/>
    <w:link w:val="FooterChar"/>
    <w:uiPriority w:val="99"/>
    <w:semiHidden/>
    <w:unhideWhenUsed/>
    <w:rsid w:val="00672364"/>
    <w:pPr>
      <w:tabs>
        <w:tab w:val="center" w:pos="4536"/>
        <w:tab w:val="right" w:pos="9072"/>
      </w:tabs>
    </w:pPr>
  </w:style>
  <w:style w:type="character" w:customStyle="1" w:styleId="FooterChar">
    <w:name w:val="Footer Char"/>
    <w:basedOn w:val="DefaultParagraphFont"/>
    <w:link w:val="Footer"/>
    <w:uiPriority w:val="99"/>
    <w:semiHidden/>
    <w:rsid w:val="00672364"/>
    <w:rPr>
      <w:rFonts w:ascii="Arial" w:eastAsia="?????? Pro W3" w:hAnsi="Arial" w:cs="Times New Roman"/>
      <w:color w:val="000000"/>
      <w:sz w:val="20"/>
      <w:szCs w:val="20"/>
      <w:lang w:val="en-GB"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ress-n-relations.ch" TargetMode="External"/><Relationship Id="rId9" Type="http://schemas.openxmlformats.org/officeDocument/2006/relationships/hyperlink" Target="mailto:fabio.peyer@aonhewitt.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6548</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Press'n'Relations</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Häfliger</dc:creator>
  <cp:lastModifiedBy>Markus Häfliger</cp:lastModifiedBy>
  <cp:revision>19</cp:revision>
  <cp:lastPrinted>2014-03-20T08:22:00Z</cp:lastPrinted>
  <dcterms:created xsi:type="dcterms:W3CDTF">2014-03-20T08:22:00Z</dcterms:created>
  <dcterms:modified xsi:type="dcterms:W3CDTF">2014-05-22T07:29:00Z</dcterms:modified>
</cp:coreProperties>
</file>