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8E05" w14:textId="77777777" w:rsidR="005D3D1E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E292CF2" w14:textId="77777777" w:rsidR="009E6E2D" w:rsidRDefault="009E6E2D" w:rsidP="009E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CAE1ACD" w14:textId="77777777" w:rsidR="009E6E2D" w:rsidRPr="000655B7" w:rsidRDefault="009E6E2D" w:rsidP="009E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E4710F9" w14:textId="77777777" w:rsidR="009E6E2D" w:rsidRPr="000655B7" w:rsidRDefault="009E6E2D" w:rsidP="009E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655B7">
        <w:rPr>
          <w:rFonts w:ascii="Arial" w:hAnsi="Arial" w:cs="Arial"/>
          <w:b/>
          <w:color w:val="000000"/>
          <w:sz w:val="28"/>
          <w:szCs w:val="28"/>
        </w:rPr>
        <w:t>PRESSEINFORMATION</w:t>
      </w:r>
    </w:p>
    <w:p w14:paraId="17630CE2" w14:textId="77777777" w:rsidR="009E6E2D" w:rsidRDefault="009E6E2D" w:rsidP="009E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F1E735" w14:textId="56DE2677" w:rsidR="009E6E2D" w:rsidRPr="000655B7" w:rsidRDefault="009E6E2D" w:rsidP="009E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Berlin</w:t>
      </w:r>
      <w:r w:rsidR="00732674">
        <w:rPr>
          <w:rFonts w:ascii="Arial" w:hAnsi="Arial" w:cs="Arial"/>
          <w:color w:val="000000"/>
        </w:rPr>
        <w:t>/Köln</w:t>
      </w:r>
      <w:r w:rsidRPr="000655B7">
        <w:rPr>
          <w:rFonts w:ascii="Arial" w:hAnsi="Arial" w:cs="Arial"/>
          <w:color w:val="000000"/>
        </w:rPr>
        <w:t xml:space="preserve">, </w:t>
      </w:r>
      <w:r w:rsidR="00732674">
        <w:rPr>
          <w:rFonts w:ascii="Arial" w:hAnsi="Arial" w:cs="Arial"/>
          <w:color w:val="000000"/>
        </w:rPr>
        <w:t>10</w:t>
      </w:r>
      <w:r w:rsidRPr="000655B7">
        <w:rPr>
          <w:rFonts w:ascii="Arial" w:hAnsi="Arial" w:cs="Arial"/>
          <w:color w:val="000000"/>
        </w:rPr>
        <w:t xml:space="preserve">. </w:t>
      </w:r>
      <w:r w:rsidR="00CE75C3">
        <w:rPr>
          <w:rFonts w:ascii="Arial" w:hAnsi="Arial" w:cs="Arial"/>
          <w:color w:val="000000"/>
        </w:rPr>
        <w:t>Dezem</w:t>
      </w:r>
      <w:r>
        <w:rPr>
          <w:rFonts w:ascii="Arial" w:hAnsi="Arial" w:cs="Arial"/>
          <w:color w:val="000000"/>
        </w:rPr>
        <w:t>ber</w:t>
      </w:r>
      <w:r w:rsidRPr="000655B7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9</w:t>
      </w:r>
    </w:p>
    <w:p w14:paraId="543FC36E" w14:textId="77777777" w:rsidR="009E6E2D" w:rsidRPr="000655B7" w:rsidRDefault="009E6E2D" w:rsidP="009E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6F7892" w14:textId="77777777" w:rsidR="00CE75C3" w:rsidRPr="000655B7" w:rsidRDefault="00CE75C3" w:rsidP="009E6E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627DE42" w14:textId="3B5742B0" w:rsidR="009E6E2D" w:rsidRDefault="003256DC" w:rsidP="009E6E2D">
      <w:pPr>
        <w:autoSpaceDE w:val="0"/>
        <w:autoSpaceDN w:val="0"/>
        <w:adjustRightInd w:val="0"/>
        <w:spacing w:after="0" w:line="360" w:lineRule="auto"/>
        <w:ind w:right="-2268"/>
        <w:rPr>
          <w:rFonts w:ascii="Arial" w:hAnsi="Arial" w:cs="Arial"/>
          <w:b/>
          <w:color w:val="000000"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color w:val="000000"/>
          <w:sz w:val="28"/>
          <w:szCs w:val="28"/>
        </w:rPr>
        <w:t xml:space="preserve">Strategischer Standort: </w:t>
      </w:r>
      <w:proofErr w:type="spellStart"/>
      <w:r w:rsidR="00732674">
        <w:rPr>
          <w:rFonts w:ascii="Arial" w:hAnsi="Arial" w:cs="Arial"/>
          <w:b/>
          <w:color w:val="000000"/>
          <w:sz w:val="28"/>
          <w:szCs w:val="28"/>
        </w:rPr>
        <w:t>tktVivax</w:t>
      </w:r>
      <w:proofErr w:type="spellEnd"/>
      <w:r w:rsidR="00732674">
        <w:rPr>
          <w:rFonts w:ascii="Arial" w:hAnsi="Arial" w:cs="Arial"/>
          <w:b/>
          <w:color w:val="000000"/>
          <w:sz w:val="28"/>
          <w:szCs w:val="28"/>
        </w:rPr>
        <w:t xml:space="preserve"> expandiert nach NRW</w:t>
      </w:r>
    </w:p>
    <w:bookmarkEnd w:id="0"/>
    <w:bookmarkEnd w:id="1"/>
    <w:p w14:paraId="4CA6533C" w14:textId="6074DF73" w:rsidR="00052599" w:rsidRDefault="00732674" w:rsidP="00052599">
      <w:pPr>
        <w:autoSpaceDE w:val="0"/>
        <w:autoSpaceDN w:val="0"/>
        <w:adjustRightInd w:val="0"/>
        <w:spacing w:after="0" w:line="360" w:lineRule="auto"/>
        <w:ind w:right="-1843"/>
        <w:rPr>
          <w:rFonts w:ascii="Arial" w:hAnsi="Arial" w:cs="Tahoma"/>
          <w:b/>
          <w:sz w:val="20"/>
          <w:szCs w:val="20"/>
        </w:rPr>
      </w:pPr>
      <w:r>
        <w:rPr>
          <w:rFonts w:ascii="Arial" w:hAnsi="Arial" w:cs="Tahoma"/>
          <w:b/>
          <w:sz w:val="20"/>
          <w:szCs w:val="20"/>
        </w:rPr>
        <w:t>Neues Büro in Köln startet zum Jahreswechsel</w:t>
      </w:r>
    </w:p>
    <w:p w14:paraId="35715FF9" w14:textId="77777777" w:rsidR="009E6E2D" w:rsidRPr="000655B7" w:rsidRDefault="009E6E2D" w:rsidP="009E6E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97BAE92" w14:textId="1CBA28F4" w:rsidR="009E6E2D" w:rsidRPr="00D870C9" w:rsidRDefault="00D63EC1" w:rsidP="004E1B24">
      <w:pPr>
        <w:spacing w:line="360" w:lineRule="auto"/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</w:pPr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Zum Jahresbeginn startet der Digitalisierungsexperte </w:t>
      </w:r>
      <w:proofErr w:type="spellStart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tktVivax</w:t>
      </w:r>
      <w:proofErr w:type="spellEnd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mit eine</w:t>
      </w:r>
      <w:r w:rsidR="006E0B4D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r</w:t>
      </w:r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="006E0B4D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eigenen Niederlassung</w:t>
      </w:r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im Kölner </w:t>
      </w:r>
      <w:proofErr w:type="spellStart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Clouth</w:t>
      </w:r>
      <w:proofErr w:type="spellEnd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-Quartier, dem neuen Stadtteil in Köln-Nippes. Die </w:t>
      </w:r>
      <w:r w:rsidR="006E0B4D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Räumlichkeiten sind</w:t>
      </w:r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zunächst für zehn Mitarbeiter ausgelegt, biete</w:t>
      </w:r>
      <w:r w:rsidR="006E0B4D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n</w:t>
      </w:r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aber auch </w:t>
      </w:r>
      <w:r w:rsidR="00B00CDA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Platz</w:t>
      </w:r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für weiteres Wachstum. „Der Digitalisierungsstandort Nordrhein-Westfalen ist für uns von besonderer strategischer Bedeutung</w:t>
      </w:r>
      <w:r w:rsidR="006E0B4D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.</w:t>
      </w:r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="006E0B4D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D</w:t>
      </w:r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eswegen haben wir uns dafür entschieden, </w:t>
      </w:r>
      <w:proofErr w:type="gramStart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unsere Präsenz</w:t>
      </w:r>
      <w:proofErr w:type="gramEnd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direkt vor Ort deutlich zu verstärken“, erläutert Dirk </w:t>
      </w:r>
      <w:proofErr w:type="spellStart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Fieml</w:t>
      </w:r>
      <w:proofErr w:type="spellEnd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, Geschäftsführer der </w:t>
      </w:r>
      <w:proofErr w:type="spellStart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tktVivax</w:t>
      </w:r>
      <w:proofErr w:type="spellEnd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GmbH, die Gründe für die neue Niederlassung. Schon heute betreut und begleitet </w:t>
      </w:r>
      <w:proofErr w:type="spellStart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tktVivax</w:t>
      </w:r>
      <w:proofErr w:type="spellEnd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mehrere Digitalisierungsprojekte in NRW, etwa bei den Stadtwerken Ahaus, die im Sommer 201</w:t>
      </w:r>
      <w:r w:rsidR="00B7177B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8</w:t>
      </w:r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mit dem Aufbau eines Glasfasernetzes in den Außenbereichen der Stadt begonnen hatten. Aber auch mit der Softwarelösung </w:t>
      </w:r>
      <w:r w:rsidRPr="00D63EC1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DICLINA, dem Netz- und Kundenmanagementsystem für Breitbandnetze</w:t>
      </w:r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, ist </w:t>
      </w:r>
      <w:proofErr w:type="spellStart"/>
      <w:r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tktVivax</w:t>
      </w:r>
      <w:proofErr w:type="spellEnd"/>
      <w:r w:rsidR="006E0B4D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in NRW erfolgreich</w:t>
      </w:r>
      <w:r w:rsidR="00B7177B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. Das System ist</w:t>
      </w:r>
      <w:r w:rsidR="006E0B4D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unter anderem bei der Glasfaser Bochum</w:t>
      </w:r>
      <w:r w:rsidR="00B7177B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 xml:space="preserve"> im Einsatz</w:t>
      </w:r>
      <w:r w:rsidR="006E0B4D">
        <w:rPr>
          <w:rFonts w:ascii="Arial" w:hAnsi="Arial" w:cs="Tahoma"/>
          <w:b/>
          <w:bCs/>
          <w:color w:val="000000" w:themeColor="text1"/>
          <w:spacing w:val="-1"/>
          <w:sz w:val="20"/>
          <w:szCs w:val="20"/>
        </w:rPr>
        <w:t>.</w:t>
      </w:r>
    </w:p>
    <w:p w14:paraId="491E8505" w14:textId="7AE1AF66" w:rsidR="009E6E2D" w:rsidRDefault="006E0B4D" w:rsidP="009E6E2D">
      <w:pPr>
        <w:spacing w:line="360" w:lineRule="auto"/>
        <w:rPr>
          <w:rFonts w:ascii="Arial" w:hAnsi="Arial" w:cs="Tahoma"/>
          <w:color w:val="000000" w:themeColor="text1"/>
          <w:sz w:val="20"/>
          <w:szCs w:val="20"/>
        </w:rPr>
      </w:pPr>
      <w:proofErr w:type="spellStart"/>
      <w:r>
        <w:rPr>
          <w:rFonts w:ascii="Arial" w:hAnsi="Arial" w:cs="Tahoma"/>
          <w:color w:val="000000" w:themeColor="text1"/>
          <w:sz w:val="20"/>
          <w:szCs w:val="20"/>
        </w:rPr>
        <w:t>tktVivax</w:t>
      </w:r>
      <w:proofErr w:type="spellEnd"/>
      <w:r>
        <w:rPr>
          <w:rFonts w:ascii="Arial" w:hAnsi="Arial" w:cs="Tahoma"/>
          <w:color w:val="000000" w:themeColor="text1"/>
          <w:sz w:val="20"/>
          <w:szCs w:val="20"/>
        </w:rPr>
        <w:t xml:space="preserve"> geht in Köln mit dem kompletten Portfolio an Beratungs</w:t>
      </w:r>
      <w:r w:rsidR="00B7177B">
        <w:rPr>
          <w:rFonts w:ascii="Arial" w:hAnsi="Arial" w:cs="Tahoma"/>
          <w:color w:val="000000" w:themeColor="text1"/>
          <w:sz w:val="20"/>
          <w:szCs w:val="20"/>
        </w:rPr>
        <w:t xml:space="preserve">- und </w:t>
      </w:r>
      <w:r>
        <w:rPr>
          <w:rFonts w:ascii="Arial" w:hAnsi="Arial" w:cs="Tahoma"/>
          <w:color w:val="000000" w:themeColor="text1"/>
          <w:sz w:val="20"/>
          <w:szCs w:val="20"/>
        </w:rPr>
        <w:t>Engineer</w:t>
      </w:r>
      <w:r w:rsidR="00B7177B">
        <w:rPr>
          <w:rFonts w:ascii="Arial" w:hAnsi="Arial" w:cs="Tahoma"/>
          <w:color w:val="000000" w:themeColor="text1"/>
          <w:sz w:val="20"/>
          <w:szCs w:val="20"/>
        </w:rPr>
        <w:t>i</w:t>
      </w:r>
      <w:r>
        <w:rPr>
          <w:rFonts w:ascii="Arial" w:hAnsi="Arial" w:cs="Tahoma"/>
          <w:color w:val="000000" w:themeColor="text1"/>
          <w:sz w:val="20"/>
          <w:szCs w:val="20"/>
        </w:rPr>
        <w:t>ng</w:t>
      </w:r>
      <w:r w:rsidR="00B7177B">
        <w:rPr>
          <w:rFonts w:ascii="Arial" w:hAnsi="Arial" w:cs="Tahoma"/>
          <w:color w:val="000000" w:themeColor="text1"/>
          <w:sz w:val="20"/>
          <w:szCs w:val="20"/>
        </w:rPr>
        <w:t>-Leist</w:t>
      </w:r>
      <w:r w:rsidR="00B00CDA">
        <w:rPr>
          <w:rFonts w:ascii="Arial" w:hAnsi="Arial" w:cs="Tahoma"/>
          <w:color w:val="000000" w:themeColor="text1"/>
          <w:sz w:val="20"/>
          <w:szCs w:val="20"/>
        </w:rPr>
        <w:t>u</w:t>
      </w:r>
      <w:r w:rsidR="00B7177B">
        <w:rPr>
          <w:rFonts w:ascii="Arial" w:hAnsi="Arial" w:cs="Tahoma"/>
          <w:color w:val="000000" w:themeColor="text1"/>
          <w:sz w:val="20"/>
          <w:szCs w:val="20"/>
        </w:rPr>
        <w:t>ngen</w:t>
      </w:r>
      <w:r>
        <w:rPr>
          <w:rFonts w:ascii="Arial" w:hAnsi="Arial" w:cs="Tahoma"/>
          <w:color w:val="000000" w:themeColor="text1"/>
          <w:sz w:val="20"/>
          <w:szCs w:val="20"/>
        </w:rPr>
        <w:t xml:space="preserve"> </w:t>
      </w:r>
      <w:r w:rsidR="00B7177B">
        <w:rPr>
          <w:rFonts w:ascii="Arial" w:hAnsi="Arial" w:cs="Tahoma"/>
          <w:color w:val="000000" w:themeColor="text1"/>
          <w:sz w:val="20"/>
          <w:szCs w:val="20"/>
        </w:rPr>
        <w:t>sowie</w:t>
      </w:r>
      <w:r>
        <w:rPr>
          <w:rFonts w:ascii="Arial" w:hAnsi="Arial" w:cs="Tahoma"/>
          <w:color w:val="000000" w:themeColor="text1"/>
          <w:sz w:val="20"/>
          <w:szCs w:val="20"/>
        </w:rPr>
        <w:t xml:space="preserve"> IT-Lösungen an den Start</w:t>
      </w:r>
      <w:r w:rsidR="003E06C6">
        <w:rPr>
          <w:rFonts w:ascii="Arial" w:hAnsi="Arial" w:cs="Tahoma"/>
          <w:color w:val="000000" w:themeColor="text1"/>
          <w:sz w:val="20"/>
          <w:szCs w:val="20"/>
        </w:rPr>
        <w:t>.</w:t>
      </w:r>
      <w:r>
        <w:rPr>
          <w:rFonts w:ascii="Arial" w:hAnsi="Arial" w:cs="Tahoma"/>
          <w:color w:val="000000" w:themeColor="text1"/>
          <w:sz w:val="20"/>
          <w:szCs w:val="20"/>
        </w:rPr>
        <w:t xml:space="preserve"> </w:t>
      </w:r>
      <w:r w:rsidRPr="006E0B4D">
        <w:rPr>
          <w:rFonts w:ascii="Arial" w:hAnsi="Arial" w:cs="Tahoma"/>
          <w:color w:val="000000" w:themeColor="text1"/>
          <w:sz w:val="20"/>
          <w:szCs w:val="20"/>
        </w:rPr>
        <w:t>Es reicht von Fragen der Prozessoptimierung und Organisationsberatung über Consulting in Bereichen wie IT, Netz &amp; Technik bis hin zur konkreten Unterstützung bei der Planung und Umsetzung von Glasfaser- und 5G-Infrastrukturen.</w:t>
      </w:r>
      <w:r>
        <w:rPr>
          <w:rFonts w:ascii="Arial" w:hAnsi="Arial" w:cs="Tahoma"/>
          <w:color w:val="000000" w:themeColor="text1"/>
          <w:sz w:val="20"/>
          <w:szCs w:val="20"/>
        </w:rPr>
        <w:t xml:space="preserve"> Dazu kommt die Tochter </w:t>
      </w:r>
      <w:proofErr w:type="spellStart"/>
      <w:r>
        <w:rPr>
          <w:rFonts w:ascii="Arial" w:hAnsi="Arial" w:cs="Tahoma"/>
          <w:color w:val="000000" w:themeColor="text1"/>
          <w:sz w:val="20"/>
          <w:szCs w:val="20"/>
        </w:rPr>
        <w:t>Vivax</w:t>
      </w:r>
      <w:proofErr w:type="spellEnd"/>
      <w:r>
        <w:rPr>
          <w:rFonts w:ascii="Arial" w:hAnsi="Arial" w:cs="Tahoma"/>
          <w:color w:val="000000" w:themeColor="text1"/>
          <w:sz w:val="20"/>
          <w:szCs w:val="20"/>
        </w:rPr>
        <w:t xml:space="preserve"> Solution</w:t>
      </w:r>
      <w:r w:rsidR="00B7177B">
        <w:rPr>
          <w:rFonts w:ascii="Arial" w:hAnsi="Arial" w:cs="Tahoma"/>
          <w:color w:val="000000" w:themeColor="text1"/>
          <w:sz w:val="20"/>
          <w:szCs w:val="20"/>
        </w:rPr>
        <w:t xml:space="preserve"> mit dem Breitbandkundenmanagement DICLINA sowie d</w:t>
      </w:r>
      <w:r w:rsidRPr="006E0B4D">
        <w:rPr>
          <w:rFonts w:ascii="Arial" w:hAnsi="Arial" w:cs="Tahoma"/>
          <w:color w:val="000000" w:themeColor="text1"/>
          <w:sz w:val="20"/>
          <w:szCs w:val="20"/>
        </w:rPr>
        <w:t xml:space="preserve">em Anwendungspaket </w:t>
      </w:r>
      <w:proofErr w:type="spellStart"/>
      <w:r w:rsidRPr="006E0B4D">
        <w:rPr>
          <w:rFonts w:ascii="Arial" w:hAnsi="Arial" w:cs="Tahoma"/>
          <w:color w:val="000000" w:themeColor="text1"/>
          <w:sz w:val="20"/>
          <w:szCs w:val="20"/>
        </w:rPr>
        <w:t>Vivax</w:t>
      </w:r>
      <w:proofErr w:type="spellEnd"/>
      <w:r w:rsidRPr="006E0B4D">
        <w:rPr>
          <w:rFonts w:ascii="Arial" w:hAnsi="Arial" w:cs="Tahoma"/>
          <w:color w:val="000000" w:themeColor="text1"/>
          <w:sz w:val="20"/>
          <w:szCs w:val="20"/>
        </w:rPr>
        <w:t xml:space="preserve"> Analytics und den Modulen PROCO und ITA</w:t>
      </w:r>
      <w:r w:rsidR="00B7177B">
        <w:rPr>
          <w:rFonts w:ascii="Arial" w:hAnsi="Arial" w:cs="Tahoma"/>
          <w:color w:val="000000" w:themeColor="text1"/>
          <w:sz w:val="20"/>
          <w:szCs w:val="20"/>
        </w:rPr>
        <w:t>. Dies unterstützt</w:t>
      </w:r>
      <w:r w:rsidRPr="006E0B4D">
        <w:rPr>
          <w:rFonts w:ascii="Arial" w:hAnsi="Arial" w:cs="Tahoma"/>
          <w:color w:val="000000" w:themeColor="text1"/>
          <w:sz w:val="20"/>
          <w:szCs w:val="20"/>
        </w:rPr>
        <w:t xml:space="preserve"> </w:t>
      </w:r>
      <w:r>
        <w:rPr>
          <w:rFonts w:ascii="Arial" w:hAnsi="Arial" w:cs="Tahoma"/>
          <w:color w:val="000000" w:themeColor="text1"/>
          <w:sz w:val="20"/>
          <w:szCs w:val="20"/>
        </w:rPr>
        <w:t>Versorgungsunternehmen dabei, ihre</w:t>
      </w:r>
      <w:r w:rsidRPr="006E0B4D">
        <w:rPr>
          <w:rFonts w:ascii="Arial" w:hAnsi="Arial" w:cs="Tahoma"/>
          <w:color w:val="000000" w:themeColor="text1"/>
          <w:sz w:val="20"/>
          <w:szCs w:val="20"/>
        </w:rPr>
        <w:t xml:space="preserve"> Prozess- und IT-Kosten </w:t>
      </w:r>
      <w:r w:rsidR="00B7177B">
        <w:rPr>
          <w:rFonts w:ascii="Arial" w:hAnsi="Arial" w:cs="Tahoma"/>
          <w:color w:val="000000" w:themeColor="text1"/>
          <w:sz w:val="20"/>
          <w:szCs w:val="20"/>
        </w:rPr>
        <w:t xml:space="preserve">schnell </w:t>
      </w:r>
      <w:r w:rsidR="00B00CDA">
        <w:rPr>
          <w:rFonts w:ascii="Arial" w:hAnsi="Arial" w:cs="Tahoma"/>
          <w:color w:val="000000" w:themeColor="text1"/>
          <w:sz w:val="20"/>
          <w:szCs w:val="20"/>
        </w:rPr>
        <w:t>sowie</w:t>
      </w:r>
      <w:r w:rsidR="00B7177B">
        <w:rPr>
          <w:rFonts w:ascii="Arial" w:hAnsi="Arial" w:cs="Tahoma"/>
          <w:color w:val="000000" w:themeColor="text1"/>
          <w:sz w:val="20"/>
          <w:szCs w:val="20"/>
        </w:rPr>
        <w:t xml:space="preserve"> </w:t>
      </w:r>
      <w:r w:rsidRPr="006E0B4D">
        <w:rPr>
          <w:rFonts w:ascii="Arial" w:hAnsi="Arial" w:cs="Tahoma"/>
          <w:color w:val="000000" w:themeColor="text1"/>
          <w:sz w:val="20"/>
          <w:szCs w:val="20"/>
        </w:rPr>
        <w:t xml:space="preserve">umfassend </w:t>
      </w:r>
      <w:r>
        <w:rPr>
          <w:rFonts w:ascii="Arial" w:hAnsi="Arial" w:cs="Tahoma"/>
          <w:color w:val="000000" w:themeColor="text1"/>
          <w:sz w:val="20"/>
          <w:szCs w:val="20"/>
        </w:rPr>
        <w:t>zu analysieren</w:t>
      </w:r>
      <w:r w:rsidRPr="006E0B4D">
        <w:rPr>
          <w:rFonts w:ascii="Arial" w:hAnsi="Arial" w:cs="Tahoma"/>
          <w:color w:val="000000" w:themeColor="text1"/>
          <w:sz w:val="20"/>
          <w:szCs w:val="20"/>
        </w:rPr>
        <w:t xml:space="preserve">. Auf dieser Basis können </w:t>
      </w:r>
      <w:r w:rsidR="00B7177B">
        <w:rPr>
          <w:rFonts w:ascii="Arial" w:hAnsi="Arial" w:cs="Tahoma"/>
          <w:color w:val="000000" w:themeColor="text1"/>
          <w:sz w:val="20"/>
          <w:szCs w:val="20"/>
        </w:rPr>
        <w:t>sie</w:t>
      </w:r>
      <w:r w:rsidRPr="006E0B4D">
        <w:rPr>
          <w:rFonts w:ascii="Arial" w:hAnsi="Arial" w:cs="Tahoma"/>
          <w:color w:val="000000" w:themeColor="text1"/>
          <w:sz w:val="20"/>
          <w:szCs w:val="20"/>
        </w:rPr>
        <w:t xml:space="preserve"> anschließend ihre Organisation optimal auf die neuen Herausforderungen </w:t>
      </w:r>
      <w:r>
        <w:rPr>
          <w:rFonts w:ascii="Arial" w:hAnsi="Arial" w:cs="Tahoma"/>
          <w:color w:val="000000" w:themeColor="text1"/>
          <w:sz w:val="20"/>
          <w:szCs w:val="20"/>
        </w:rPr>
        <w:t xml:space="preserve">der Digitalisierung </w:t>
      </w:r>
      <w:r w:rsidRPr="006E0B4D">
        <w:rPr>
          <w:rFonts w:ascii="Arial" w:hAnsi="Arial" w:cs="Tahoma"/>
          <w:color w:val="000000" w:themeColor="text1"/>
          <w:sz w:val="20"/>
          <w:szCs w:val="20"/>
        </w:rPr>
        <w:t>ausrichten.</w:t>
      </w:r>
    </w:p>
    <w:p w14:paraId="2786F5BE" w14:textId="77777777" w:rsidR="00830FD0" w:rsidRPr="00194D0B" w:rsidRDefault="00830FD0" w:rsidP="009E6E2D">
      <w:pPr>
        <w:spacing w:line="360" w:lineRule="auto"/>
        <w:rPr>
          <w:rFonts w:ascii="Arial" w:hAnsi="Arial" w:cs="Tahoma"/>
          <w:i/>
          <w:iCs/>
          <w:sz w:val="20"/>
          <w:szCs w:val="20"/>
        </w:rPr>
      </w:pPr>
    </w:p>
    <w:p w14:paraId="2E04C942" w14:textId="77777777" w:rsidR="009E6E2D" w:rsidRPr="00194D0B" w:rsidRDefault="009E6E2D" w:rsidP="009E6E2D">
      <w:pPr>
        <w:spacing w:line="360" w:lineRule="auto"/>
        <w:rPr>
          <w:rFonts w:ascii="Arial" w:hAnsi="Arial" w:cs="Tahoma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9E6E2D" w:rsidRPr="000655B7" w14:paraId="20EF73C9" w14:textId="77777777" w:rsidTr="00DF1F0A">
        <w:tc>
          <w:tcPr>
            <w:tcW w:w="4361" w:type="dxa"/>
            <w:shd w:val="clear" w:color="auto" w:fill="auto"/>
          </w:tcPr>
          <w:p w14:paraId="08A9C392" w14:textId="77777777" w:rsidR="009E6E2D" w:rsidRPr="008457BE" w:rsidRDefault="009E6E2D" w:rsidP="00DF1F0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left="-109" w:right="176"/>
              <w:rPr>
                <w:rFonts w:ascii="Arial" w:hAnsi="Arial" w:cs="Calibri"/>
                <w:sz w:val="16"/>
                <w:szCs w:val="26"/>
                <w:lang w:eastAsia="de-DE"/>
              </w:rPr>
            </w:pP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lastRenderedPageBreak/>
              <w:t>Kontaktdaten:</w:t>
            </w: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proofErr w:type="spellStart"/>
            <w:r>
              <w:rPr>
                <w:rFonts w:ascii="Arial" w:hAnsi="Arial" w:cs="Calibri"/>
                <w:sz w:val="16"/>
                <w:szCs w:val="26"/>
                <w:lang w:eastAsia="de-DE"/>
              </w:rPr>
              <w:t>tkt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Vivax</w:t>
            </w:r>
            <w:proofErr w:type="spellEnd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GmbH – Dirk </w:t>
            </w:r>
            <w:proofErr w:type="spellStart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Fieml</w:t>
            </w:r>
            <w:proofErr w:type="spellEnd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>Kurfürstendamm 194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– </w:t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>10707 Berlin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Tel: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+</w:t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>49 30 700 159 805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7" w:history="1">
              <w:r w:rsidRPr="00A67290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d.fieml@tkt-vivax.de</w:t>
              </w:r>
            </w:hyperlink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www.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tkt-vivax.de</w:t>
            </w:r>
          </w:p>
          <w:p w14:paraId="73C05C4D" w14:textId="77777777" w:rsidR="009E6E2D" w:rsidRPr="008457BE" w:rsidRDefault="009E6E2D" w:rsidP="00DF1F0A">
            <w:pPr>
              <w:widowControl w:val="0"/>
              <w:tabs>
                <w:tab w:val="left" w:pos="2977"/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right="176"/>
              <w:rPr>
                <w:rFonts w:ascii="Arial" w:hAnsi="Arial" w:cs="Calibri"/>
                <w:color w:val="0000FF"/>
                <w:sz w:val="16"/>
                <w:szCs w:val="26"/>
                <w:u w:val="single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14:paraId="35A1F2E1" w14:textId="77777777" w:rsidR="009E6E2D" w:rsidRPr="000655B7" w:rsidRDefault="009E6E2D" w:rsidP="00DF1F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742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Presse- und Öffentlichkeitsarbeit:</w:t>
            </w: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Uwe Pagel – Press’n’Relations GmbH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Magirusstraße 33 – D-89077 Ulm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 xml:space="preserve">Tel.: +49 731 962 87-29 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8" w:history="1">
              <w:r w:rsidRPr="000655B7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upa@press-n-relations.de</w:t>
              </w:r>
            </w:hyperlink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www.press-n-relations.com</w:t>
            </w:r>
          </w:p>
        </w:tc>
      </w:tr>
    </w:tbl>
    <w:p w14:paraId="1D39BBE4" w14:textId="77777777" w:rsidR="009E6E2D" w:rsidRPr="005D3D1E" w:rsidRDefault="009E6E2D" w:rsidP="009E6E2D">
      <w:pPr>
        <w:widowControl w:val="0"/>
        <w:autoSpaceDE w:val="0"/>
        <w:autoSpaceDN w:val="0"/>
        <w:adjustRightInd w:val="0"/>
        <w:spacing w:line="240" w:lineRule="auto"/>
        <w:ind w:left="34"/>
        <w:rPr>
          <w:rFonts w:ascii="Arial" w:hAnsi="Arial" w:cs="Calibri"/>
          <w:sz w:val="16"/>
          <w:szCs w:val="26"/>
          <w:lang w:eastAsia="de-DE"/>
        </w:rPr>
      </w:pPr>
      <w:r w:rsidRPr="000655B7">
        <w:rPr>
          <w:rFonts w:ascii="Arial" w:hAnsi="Arial" w:cs="Calibri"/>
          <w:sz w:val="16"/>
          <w:szCs w:val="26"/>
          <w:lang w:eastAsia="de-DE"/>
        </w:rPr>
        <w:t>Die</w:t>
      </w:r>
      <w:r>
        <w:rPr>
          <w:rFonts w:ascii="Arial" w:hAnsi="Arial" w:cs="Calibri"/>
          <w:sz w:val="16"/>
          <w:szCs w:val="26"/>
          <w:lang w:eastAsia="de-DE"/>
        </w:rPr>
        <w:t xml:space="preserve"> </w:t>
      </w:r>
      <w:proofErr w:type="spellStart"/>
      <w:r>
        <w:rPr>
          <w:rFonts w:ascii="Arial" w:hAnsi="Arial" w:cs="Calibri"/>
          <w:sz w:val="16"/>
          <w:szCs w:val="26"/>
          <w:lang w:eastAsia="de-DE"/>
        </w:rPr>
        <w:t>tktVivax</w:t>
      </w:r>
      <w:proofErr w:type="spellEnd"/>
      <w:r>
        <w:rPr>
          <w:rFonts w:ascii="Arial" w:hAnsi="Arial" w:cs="Calibri"/>
          <w:sz w:val="16"/>
          <w:szCs w:val="26"/>
          <w:lang w:eastAsia="de-DE"/>
        </w:rPr>
        <w:t xml:space="preserve"> </w:t>
      </w:r>
      <w:r w:rsidRPr="000655B7">
        <w:rPr>
          <w:rFonts w:ascii="Arial" w:hAnsi="Arial" w:cs="Calibri"/>
          <w:sz w:val="16"/>
          <w:szCs w:val="26"/>
          <w:lang w:eastAsia="de-DE"/>
        </w:rPr>
        <w:t xml:space="preserve">GmbH mit Sitz in </w:t>
      </w:r>
      <w:r>
        <w:rPr>
          <w:rFonts w:ascii="Arial" w:hAnsi="Arial" w:cs="Calibri"/>
          <w:sz w:val="16"/>
          <w:szCs w:val="26"/>
          <w:lang w:eastAsia="de-DE"/>
        </w:rPr>
        <w:t xml:space="preserve">Berlin und Niederlassungen in Stuttgart (Backnang), Köln und Potsdam, unterstützt ihre Kunden im </w:t>
      </w:r>
      <w:r w:rsidRPr="007749DD">
        <w:rPr>
          <w:rFonts w:ascii="Arial" w:hAnsi="Arial" w:cs="Calibri"/>
          <w:sz w:val="16"/>
          <w:szCs w:val="26"/>
          <w:lang w:eastAsia="de-DE"/>
        </w:rPr>
        <w:t xml:space="preserve">Bereich zukunftsorientierter Telekommunikationstechnologien </w:t>
      </w:r>
      <w:r>
        <w:rPr>
          <w:rFonts w:ascii="Arial" w:hAnsi="Arial" w:cs="Calibri"/>
          <w:sz w:val="16"/>
          <w:szCs w:val="26"/>
          <w:lang w:eastAsia="de-DE"/>
        </w:rPr>
        <w:t>sowie mit</w:t>
      </w:r>
      <w:r w:rsidRPr="007749DD">
        <w:rPr>
          <w:rFonts w:ascii="Arial" w:hAnsi="Arial" w:cs="Calibri"/>
          <w:sz w:val="16"/>
          <w:szCs w:val="26"/>
          <w:lang w:eastAsia="de-DE"/>
        </w:rPr>
        <w:t xml:space="preserve"> Organisations-, Prozess- und Digi</w:t>
      </w:r>
      <w:r>
        <w:rPr>
          <w:rFonts w:ascii="Arial" w:hAnsi="Arial" w:cs="Calibri"/>
          <w:sz w:val="16"/>
          <w:szCs w:val="26"/>
          <w:lang w:eastAsia="de-DE"/>
        </w:rPr>
        <w:t>t</w:t>
      </w:r>
      <w:r w:rsidRPr="007749DD">
        <w:rPr>
          <w:rFonts w:ascii="Arial" w:hAnsi="Arial" w:cs="Calibri"/>
          <w:sz w:val="16"/>
          <w:szCs w:val="26"/>
          <w:lang w:eastAsia="de-DE"/>
        </w:rPr>
        <w:t>alisierungsberatung in der kommunalen Ver</w:t>
      </w:r>
      <w:bookmarkStart w:id="2" w:name="_GoBack"/>
      <w:bookmarkEnd w:id="2"/>
      <w:r w:rsidRPr="007749DD">
        <w:rPr>
          <w:rFonts w:ascii="Arial" w:hAnsi="Arial" w:cs="Calibri"/>
          <w:sz w:val="16"/>
          <w:szCs w:val="26"/>
          <w:lang w:eastAsia="de-DE"/>
        </w:rPr>
        <w:t>sorgungswirtschaft.</w:t>
      </w:r>
      <w:r>
        <w:rPr>
          <w:rFonts w:ascii="Arial" w:hAnsi="Arial" w:cs="Calibri"/>
          <w:sz w:val="16"/>
          <w:szCs w:val="26"/>
          <w:lang w:eastAsia="de-DE"/>
        </w:rPr>
        <w:t xml:space="preserve"> Mit rund 50 Mitarbeitern deckt das Beratungsunternehmen ein breites Spektrum von der Analyse, </w:t>
      </w:r>
      <w:r w:rsidRPr="00AD4250">
        <w:rPr>
          <w:rFonts w:ascii="Arial" w:hAnsi="Arial" w:cs="Calibri"/>
          <w:sz w:val="16"/>
          <w:szCs w:val="26"/>
          <w:lang w:eastAsia="de-DE"/>
        </w:rPr>
        <w:t>Strategiefindung und Fördermittelberatung über die Neu- und Umgestaltung von Prozessen und Organisationen</w:t>
      </w:r>
      <w:r>
        <w:rPr>
          <w:rFonts w:ascii="Arial" w:hAnsi="Arial" w:cs="Calibri"/>
          <w:sz w:val="16"/>
          <w:szCs w:val="26"/>
          <w:lang w:eastAsia="de-DE"/>
        </w:rPr>
        <w:t xml:space="preserve"> in allen Bereichen der Versorgungswirtschaft</w:t>
      </w:r>
      <w:r w:rsidRPr="00AD4250">
        <w:rPr>
          <w:rFonts w:ascii="Arial" w:hAnsi="Arial" w:cs="Calibri"/>
          <w:sz w:val="16"/>
          <w:szCs w:val="26"/>
          <w:lang w:eastAsia="de-DE"/>
        </w:rPr>
        <w:t xml:space="preserve"> bis hin zur Planungs- und Umsetzungsbegleitung</w:t>
      </w:r>
      <w:r>
        <w:rPr>
          <w:rFonts w:ascii="Arial" w:hAnsi="Arial" w:cs="Calibri"/>
          <w:sz w:val="16"/>
          <w:szCs w:val="26"/>
          <w:lang w:eastAsia="de-DE"/>
        </w:rPr>
        <w:t xml:space="preserve"> von Glasfaser- und 5G-Infrastrukturen an. Zielgruppe sind sowohl Stadtwerke als auch Kommunalverwaltungen.</w:t>
      </w:r>
    </w:p>
    <w:p w14:paraId="13120D09" w14:textId="27817F7E" w:rsidR="009E6E2D" w:rsidRPr="005D3D1E" w:rsidRDefault="009E6E2D" w:rsidP="009E6E2D">
      <w:pPr>
        <w:spacing w:line="360" w:lineRule="auto"/>
        <w:rPr>
          <w:rFonts w:ascii="Arial" w:hAnsi="Arial" w:cs="Calibri"/>
          <w:sz w:val="16"/>
          <w:szCs w:val="26"/>
          <w:lang w:eastAsia="de-DE"/>
        </w:rPr>
      </w:pPr>
    </w:p>
    <w:sectPr w:rsidR="009E6E2D" w:rsidRPr="005D3D1E" w:rsidSect="00400DA6">
      <w:headerReference w:type="default" r:id="rId9"/>
      <w:pgSz w:w="11901" w:h="16840"/>
      <w:pgMar w:top="1701" w:right="3737" w:bottom="123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F494" w14:textId="77777777" w:rsidR="005220ED" w:rsidRDefault="005220ED" w:rsidP="00BF70FE">
      <w:pPr>
        <w:spacing w:after="0" w:line="240" w:lineRule="auto"/>
      </w:pPr>
      <w:r>
        <w:separator/>
      </w:r>
    </w:p>
  </w:endnote>
  <w:endnote w:type="continuationSeparator" w:id="0">
    <w:p w14:paraId="7C406F60" w14:textId="77777777" w:rsidR="005220ED" w:rsidRDefault="005220ED" w:rsidP="00BF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2D10" w14:textId="77777777" w:rsidR="005220ED" w:rsidRDefault="005220ED" w:rsidP="00BF70FE">
      <w:pPr>
        <w:spacing w:after="0" w:line="240" w:lineRule="auto"/>
      </w:pPr>
      <w:r>
        <w:separator/>
      </w:r>
    </w:p>
  </w:footnote>
  <w:footnote w:type="continuationSeparator" w:id="0">
    <w:p w14:paraId="0069B84A" w14:textId="77777777" w:rsidR="005220ED" w:rsidRDefault="005220ED" w:rsidP="00BF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9685" w14:textId="318F9223" w:rsidR="00B96701" w:rsidRDefault="00E478B7" w:rsidP="002757A3">
    <w:pPr>
      <w:pStyle w:val="Kopfzeile"/>
      <w:ind w:right="-2268"/>
      <w:jc w:val="right"/>
    </w:pPr>
    <w:r>
      <w:rPr>
        <w:noProof/>
        <w:lang w:eastAsia="de-DE"/>
      </w:rPr>
      <w:drawing>
        <wp:inline distT="0" distB="0" distL="0" distR="0" wp14:anchorId="4445E150" wp14:editId="47E183F1">
          <wp:extent cx="1758237" cy="43360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ktvivax logo 80%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966" cy="46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701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3E9"/>
    <w:multiLevelType w:val="hybridMultilevel"/>
    <w:tmpl w:val="DE948948"/>
    <w:lvl w:ilvl="0" w:tplc="552AB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71EB9D-59BD-4437-BD18-A675BACDF941}"/>
    <w:docVar w:name="dgnword-eventsink" w:val="316488199920"/>
  </w:docVars>
  <w:rsids>
    <w:rsidRoot w:val="00E37F9E"/>
    <w:rsid w:val="00006AC0"/>
    <w:rsid w:val="00026CFD"/>
    <w:rsid w:val="00037B8A"/>
    <w:rsid w:val="00052599"/>
    <w:rsid w:val="000564A9"/>
    <w:rsid w:val="0006200B"/>
    <w:rsid w:val="00065270"/>
    <w:rsid w:val="000655B7"/>
    <w:rsid w:val="000823CF"/>
    <w:rsid w:val="000A1E6B"/>
    <w:rsid w:val="000A4C5E"/>
    <w:rsid w:val="000A4C93"/>
    <w:rsid w:val="000C4746"/>
    <w:rsid w:val="000D4DE3"/>
    <w:rsid w:val="000E087D"/>
    <w:rsid w:val="000E7CE7"/>
    <w:rsid w:val="000F2111"/>
    <w:rsid w:val="000F4F9D"/>
    <w:rsid w:val="00100355"/>
    <w:rsid w:val="0010198B"/>
    <w:rsid w:val="00104674"/>
    <w:rsid w:val="00106821"/>
    <w:rsid w:val="00117739"/>
    <w:rsid w:val="00131142"/>
    <w:rsid w:val="0013234F"/>
    <w:rsid w:val="00135237"/>
    <w:rsid w:val="00157861"/>
    <w:rsid w:val="00181FBB"/>
    <w:rsid w:val="00187FC7"/>
    <w:rsid w:val="0019471F"/>
    <w:rsid w:val="00194D0B"/>
    <w:rsid w:val="001A272C"/>
    <w:rsid w:val="001C3322"/>
    <w:rsid w:val="001C51EC"/>
    <w:rsid w:val="001D2FB7"/>
    <w:rsid w:val="001E6755"/>
    <w:rsid w:val="001E6F47"/>
    <w:rsid w:val="00205941"/>
    <w:rsid w:val="00207A9F"/>
    <w:rsid w:val="00213AF7"/>
    <w:rsid w:val="00221777"/>
    <w:rsid w:val="00237217"/>
    <w:rsid w:val="00262A08"/>
    <w:rsid w:val="00265589"/>
    <w:rsid w:val="002745F8"/>
    <w:rsid w:val="00274D41"/>
    <w:rsid w:val="002757A3"/>
    <w:rsid w:val="0028558F"/>
    <w:rsid w:val="002A7E29"/>
    <w:rsid w:val="002B36BE"/>
    <w:rsid w:val="002B3E9E"/>
    <w:rsid w:val="002D5B66"/>
    <w:rsid w:val="002D6045"/>
    <w:rsid w:val="002E0481"/>
    <w:rsid w:val="002F1BFF"/>
    <w:rsid w:val="0030091A"/>
    <w:rsid w:val="00304113"/>
    <w:rsid w:val="00314048"/>
    <w:rsid w:val="003256DC"/>
    <w:rsid w:val="003274D8"/>
    <w:rsid w:val="00341A34"/>
    <w:rsid w:val="003424D3"/>
    <w:rsid w:val="0035256E"/>
    <w:rsid w:val="00362AE7"/>
    <w:rsid w:val="00394D5C"/>
    <w:rsid w:val="003953CA"/>
    <w:rsid w:val="003A3B30"/>
    <w:rsid w:val="003A6602"/>
    <w:rsid w:val="003B4407"/>
    <w:rsid w:val="003B6004"/>
    <w:rsid w:val="003B69BD"/>
    <w:rsid w:val="003C0B6F"/>
    <w:rsid w:val="003C475B"/>
    <w:rsid w:val="003D63AC"/>
    <w:rsid w:val="003E06C6"/>
    <w:rsid w:val="00400DA6"/>
    <w:rsid w:val="00402F7C"/>
    <w:rsid w:val="00406C69"/>
    <w:rsid w:val="004137FD"/>
    <w:rsid w:val="00427AD2"/>
    <w:rsid w:val="004422BD"/>
    <w:rsid w:val="004467C0"/>
    <w:rsid w:val="004540FC"/>
    <w:rsid w:val="00454989"/>
    <w:rsid w:val="00463FE6"/>
    <w:rsid w:val="00465A5D"/>
    <w:rsid w:val="00465CBB"/>
    <w:rsid w:val="004713E0"/>
    <w:rsid w:val="004810F6"/>
    <w:rsid w:val="004864BF"/>
    <w:rsid w:val="0049171E"/>
    <w:rsid w:val="00497AEF"/>
    <w:rsid w:val="004B0D7E"/>
    <w:rsid w:val="004E1B24"/>
    <w:rsid w:val="004F5892"/>
    <w:rsid w:val="00521E6A"/>
    <w:rsid w:val="005220ED"/>
    <w:rsid w:val="0053379A"/>
    <w:rsid w:val="00556FEE"/>
    <w:rsid w:val="005577A0"/>
    <w:rsid w:val="00557F58"/>
    <w:rsid w:val="00566CAF"/>
    <w:rsid w:val="00570376"/>
    <w:rsid w:val="00576A90"/>
    <w:rsid w:val="00576E59"/>
    <w:rsid w:val="00582ECD"/>
    <w:rsid w:val="005926D7"/>
    <w:rsid w:val="005958C2"/>
    <w:rsid w:val="005964BA"/>
    <w:rsid w:val="00596BC4"/>
    <w:rsid w:val="005C64BF"/>
    <w:rsid w:val="005D3D1E"/>
    <w:rsid w:val="005E3DE1"/>
    <w:rsid w:val="005F63B7"/>
    <w:rsid w:val="00633111"/>
    <w:rsid w:val="00640D6D"/>
    <w:rsid w:val="006563BE"/>
    <w:rsid w:val="00664FF9"/>
    <w:rsid w:val="006663C8"/>
    <w:rsid w:val="00681349"/>
    <w:rsid w:val="00682686"/>
    <w:rsid w:val="00682E83"/>
    <w:rsid w:val="006D38DD"/>
    <w:rsid w:val="006E0B4D"/>
    <w:rsid w:val="006E0D44"/>
    <w:rsid w:val="006E4FD3"/>
    <w:rsid w:val="006F2189"/>
    <w:rsid w:val="006F6D06"/>
    <w:rsid w:val="00705635"/>
    <w:rsid w:val="00712F91"/>
    <w:rsid w:val="00714AB5"/>
    <w:rsid w:val="007162A5"/>
    <w:rsid w:val="007169F8"/>
    <w:rsid w:val="00726D0D"/>
    <w:rsid w:val="00732674"/>
    <w:rsid w:val="00732F57"/>
    <w:rsid w:val="00742C79"/>
    <w:rsid w:val="00751621"/>
    <w:rsid w:val="00751B21"/>
    <w:rsid w:val="00752985"/>
    <w:rsid w:val="00753CE4"/>
    <w:rsid w:val="00764363"/>
    <w:rsid w:val="00766B7A"/>
    <w:rsid w:val="007749DD"/>
    <w:rsid w:val="00776233"/>
    <w:rsid w:val="007768B7"/>
    <w:rsid w:val="00780026"/>
    <w:rsid w:val="00785A83"/>
    <w:rsid w:val="00785BC8"/>
    <w:rsid w:val="007A6124"/>
    <w:rsid w:val="007B0615"/>
    <w:rsid w:val="007F3F43"/>
    <w:rsid w:val="007F6DA2"/>
    <w:rsid w:val="00803966"/>
    <w:rsid w:val="00822F51"/>
    <w:rsid w:val="00830FD0"/>
    <w:rsid w:val="00837514"/>
    <w:rsid w:val="008457BE"/>
    <w:rsid w:val="00860C87"/>
    <w:rsid w:val="00872E24"/>
    <w:rsid w:val="008C3262"/>
    <w:rsid w:val="0090779D"/>
    <w:rsid w:val="00915DD5"/>
    <w:rsid w:val="009362EB"/>
    <w:rsid w:val="00937B5E"/>
    <w:rsid w:val="0094694E"/>
    <w:rsid w:val="00953399"/>
    <w:rsid w:val="0095460E"/>
    <w:rsid w:val="00970DA5"/>
    <w:rsid w:val="00972598"/>
    <w:rsid w:val="0098474D"/>
    <w:rsid w:val="00993991"/>
    <w:rsid w:val="009A5414"/>
    <w:rsid w:val="009B04A2"/>
    <w:rsid w:val="009C0CE4"/>
    <w:rsid w:val="009E6B35"/>
    <w:rsid w:val="009E6E2D"/>
    <w:rsid w:val="009F0C3D"/>
    <w:rsid w:val="00A22923"/>
    <w:rsid w:val="00A257D2"/>
    <w:rsid w:val="00A32BA5"/>
    <w:rsid w:val="00A339B3"/>
    <w:rsid w:val="00A461EC"/>
    <w:rsid w:val="00A462DC"/>
    <w:rsid w:val="00A551F1"/>
    <w:rsid w:val="00A55C3C"/>
    <w:rsid w:val="00A56E5A"/>
    <w:rsid w:val="00A61A47"/>
    <w:rsid w:val="00A86E2E"/>
    <w:rsid w:val="00AC6091"/>
    <w:rsid w:val="00AD08BE"/>
    <w:rsid w:val="00AD4250"/>
    <w:rsid w:val="00AF57C8"/>
    <w:rsid w:val="00B00CDA"/>
    <w:rsid w:val="00B11CFE"/>
    <w:rsid w:val="00B27B9D"/>
    <w:rsid w:val="00B36EA2"/>
    <w:rsid w:val="00B43DB2"/>
    <w:rsid w:val="00B46CF9"/>
    <w:rsid w:val="00B47F46"/>
    <w:rsid w:val="00B7177B"/>
    <w:rsid w:val="00B71C92"/>
    <w:rsid w:val="00B753D5"/>
    <w:rsid w:val="00B819A5"/>
    <w:rsid w:val="00B96701"/>
    <w:rsid w:val="00BA51BE"/>
    <w:rsid w:val="00BB3C47"/>
    <w:rsid w:val="00BC1CCE"/>
    <w:rsid w:val="00BC3A66"/>
    <w:rsid w:val="00BD0D88"/>
    <w:rsid w:val="00BE15E7"/>
    <w:rsid w:val="00BE3C7C"/>
    <w:rsid w:val="00BF3BB4"/>
    <w:rsid w:val="00BF70FE"/>
    <w:rsid w:val="00C235D5"/>
    <w:rsid w:val="00C27553"/>
    <w:rsid w:val="00C32033"/>
    <w:rsid w:val="00C424EF"/>
    <w:rsid w:val="00C52268"/>
    <w:rsid w:val="00C61B5D"/>
    <w:rsid w:val="00C6235A"/>
    <w:rsid w:val="00C71329"/>
    <w:rsid w:val="00C84CCA"/>
    <w:rsid w:val="00C91823"/>
    <w:rsid w:val="00CB2102"/>
    <w:rsid w:val="00CB3800"/>
    <w:rsid w:val="00CC44E9"/>
    <w:rsid w:val="00CC4D60"/>
    <w:rsid w:val="00CD3EF6"/>
    <w:rsid w:val="00CD490F"/>
    <w:rsid w:val="00CD5183"/>
    <w:rsid w:val="00CE75C3"/>
    <w:rsid w:val="00D02991"/>
    <w:rsid w:val="00D1662C"/>
    <w:rsid w:val="00D16EBD"/>
    <w:rsid w:val="00D20803"/>
    <w:rsid w:val="00D2582F"/>
    <w:rsid w:val="00D429BE"/>
    <w:rsid w:val="00D52A64"/>
    <w:rsid w:val="00D572B9"/>
    <w:rsid w:val="00D63982"/>
    <w:rsid w:val="00D63EC1"/>
    <w:rsid w:val="00D65213"/>
    <w:rsid w:val="00D70F6F"/>
    <w:rsid w:val="00D870C9"/>
    <w:rsid w:val="00D9728A"/>
    <w:rsid w:val="00DA183D"/>
    <w:rsid w:val="00DC1341"/>
    <w:rsid w:val="00DC2EE2"/>
    <w:rsid w:val="00DC32A3"/>
    <w:rsid w:val="00DE0150"/>
    <w:rsid w:val="00DE4605"/>
    <w:rsid w:val="00DE740B"/>
    <w:rsid w:val="00DF3864"/>
    <w:rsid w:val="00DF581E"/>
    <w:rsid w:val="00E14982"/>
    <w:rsid w:val="00E20A29"/>
    <w:rsid w:val="00E26B5E"/>
    <w:rsid w:val="00E3135E"/>
    <w:rsid w:val="00E37F9E"/>
    <w:rsid w:val="00E478B7"/>
    <w:rsid w:val="00E50E39"/>
    <w:rsid w:val="00E570C4"/>
    <w:rsid w:val="00E60782"/>
    <w:rsid w:val="00E60990"/>
    <w:rsid w:val="00E6120F"/>
    <w:rsid w:val="00E64CFD"/>
    <w:rsid w:val="00E704E3"/>
    <w:rsid w:val="00E73FD3"/>
    <w:rsid w:val="00E773A7"/>
    <w:rsid w:val="00E833E9"/>
    <w:rsid w:val="00E835B3"/>
    <w:rsid w:val="00E92706"/>
    <w:rsid w:val="00E96682"/>
    <w:rsid w:val="00EA337B"/>
    <w:rsid w:val="00EB6A45"/>
    <w:rsid w:val="00ED3254"/>
    <w:rsid w:val="00ED48B5"/>
    <w:rsid w:val="00EF4362"/>
    <w:rsid w:val="00F02294"/>
    <w:rsid w:val="00F60AEE"/>
    <w:rsid w:val="00F66C89"/>
    <w:rsid w:val="00F66CAF"/>
    <w:rsid w:val="00F80BB7"/>
    <w:rsid w:val="00F875B4"/>
    <w:rsid w:val="00F91B9F"/>
    <w:rsid w:val="00F94262"/>
    <w:rsid w:val="00F94264"/>
    <w:rsid w:val="00F965C4"/>
    <w:rsid w:val="00FB2C00"/>
    <w:rsid w:val="00FB447B"/>
    <w:rsid w:val="00FB53D9"/>
    <w:rsid w:val="00FB68F7"/>
    <w:rsid w:val="00FE2E90"/>
    <w:rsid w:val="00FE30BE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FBD88"/>
  <w15:docId w15:val="{747D9F12-AC28-2243-9B62-370EBB3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B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57F58"/>
    <w:rPr>
      <w:b/>
      <w:bCs/>
    </w:rPr>
  </w:style>
  <w:style w:type="paragraph" w:styleId="Listenabsatz">
    <w:name w:val="List Paragraph"/>
    <w:basedOn w:val="Standard"/>
    <w:uiPriority w:val="34"/>
    <w:qFormat/>
    <w:rsid w:val="001046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FE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0FE"/>
  </w:style>
  <w:style w:type="paragraph" w:styleId="Fuzeile">
    <w:name w:val="footer"/>
    <w:basedOn w:val="Standard"/>
    <w:link w:val="FuzeileZchn"/>
    <w:uiPriority w:val="99"/>
    <w:unhideWhenUsed/>
    <w:rsid w:val="00BF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0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0F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D3EF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9D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9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th-T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D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@press-n-relation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fieml@tkt-viva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Dipl.- Ing. (FH) Dirk Fieml</dc:creator>
  <cp:keywords/>
  <dc:description/>
  <cp:lastModifiedBy>Uwe Pagel</cp:lastModifiedBy>
  <cp:revision>3</cp:revision>
  <cp:lastPrinted>2019-12-03T13:37:00Z</cp:lastPrinted>
  <dcterms:created xsi:type="dcterms:W3CDTF">2019-12-09T13:01:00Z</dcterms:created>
  <dcterms:modified xsi:type="dcterms:W3CDTF">2019-12-09T13:04:00Z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306931540</vt:i4>
  </property>
  <property fmtid="{D5CDD505-2E9C-101B-9397-08002B2CF9AE}" pid="3" name="_NewReviewCycle">
    <vt:lpwstr/>
  </property>
  <property fmtid="{D5CDD505-2E9C-101B-9397-08002B2CF9AE}" pid="4" name="_EmailSubject">
    <vt:lpwstr>Presseinfo STI Energiewirtschaft</vt:lpwstr>
  </property>
  <property fmtid="{D5CDD505-2E9C-101B-9397-08002B2CF9AE}" pid="5" name="_AuthorEmail">
    <vt:lpwstr>d.fieml@vivax-gmbh.net</vt:lpwstr>
  </property>
  <property fmtid="{D5CDD505-2E9C-101B-9397-08002B2CF9AE}" pid="6" name="_AuthorEmailDisplayName">
    <vt:lpwstr>Dirk Fieml</vt:lpwstr>
  </property>
</Properties>
</file>