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A967" w14:textId="77777777" w:rsidR="00126EDD" w:rsidRDefault="00126EDD" w:rsidP="00126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E83A8A3" w14:textId="77777777" w:rsidR="00126EDD" w:rsidRPr="000655B7" w:rsidRDefault="00126EDD" w:rsidP="00126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BE95559" w14:textId="77777777" w:rsidR="00126EDD" w:rsidRPr="000655B7" w:rsidRDefault="00126EDD" w:rsidP="00126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0655B7">
        <w:rPr>
          <w:rFonts w:ascii="Arial" w:hAnsi="Arial" w:cs="Arial"/>
          <w:b/>
          <w:color w:val="000000"/>
          <w:sz w:val="28"/>
          <w:szCs w:val="28"/>
        </w:rPr>
        <w:t>PRESSEINFORMATION</w:t>
      </w:r>
    </w:p>
    <w:p w14:paraId="517C12F8" w14:textId="77777777" w:rsidR="00126EDD" w:rsidRDefault="00126EDD" w:rsidP="00126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FF0938E" w14:textId="49A402A6" w:rsidR="00126EDD" w:rsidRDefault="00126EDD" w:rsidP="00126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Berlin</w:t>
      </w:r>
      <w:r w:rsidRPr="000655B7">
        <w:rPr>
          <w:rFonts w:ascii="Arial" w:hAnsi="Arial" w:cs="Arial"/>
          <w:color w:val="000000"/>
        </w:rPr>
        <w:t xml:space="preserve">, </w:t>
      </w:r>
      <w:r w:rsidR="001457D5">
        <w:rPr>
          <w:rFonts w:ascii="Arial" w:hAnsi="Arial" w:cs="Arial"/>
        </w:rPr>
        <w:t>1</w:t>
      </w:r>
      <w:r w:rsidR="00632BA3">
        <w:rPr>
          <w:rFonts w:ascii="Arial" w:hAnsi="Arial" w:cs="Arial"/>
        </w:rPr>
        <w:t>9</w:t>
      </w:r>
      <w:r w:rsidRPr="003A2746">
        <w:rPr>
          <w:rFonts w:ascii="Arial" w:hAnsi="Arial" w:cs="Arial"/>
        </w:rPr>
        <w:t xml:space="preserve">. </w:t>
      </w:r>
      <w:r w:rsidR="00E14F96">
        <w:rPr>
          <w:rFonts w:ascii="Arial" w:hAnsi="Arial" w:cs="Arial"/>
        </w:rPr>
        <w:t>J</w:t>
      </w:r>
      <w:r w:rsidR="00DA6A21">
        <w:rPr>
          <w:rFonts w:ascii="Arial" w:hAnsi="Arial" w:cs="Arial"/>
        </w:rPr>
        <w:t>anuar</w:t>
      </w:r>
      <w:r w:rsidRPr="003A2746">
        <w:rPr>
          <w:rFonts w:ascii="Arial" w:hAnsi="Arial" w:cs="Arial"/>
        </w:rPr>
        <w:t xml:space="preserve"> </w:t>
      </w:r>
      <w:r w:rsidRPr="00C74157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</w:t>
      </w:r>
      <w:bookmarkStart w:id="0" w:name="OLE_LINK4"/>
      <w:bookmarkStart w:id="1" w:name="OLE_LINK5"/>
      <w:r w:rsidR="00DA6A21">
        <w:rPr>
          <w:rFonts w:ascii="Arial" w:hAnsi="Arial" w:cs="Arial"/>
          <w:color w:val="000000"/>
        </w:rPr>
        <w:t>3</w:t>
      </w:r>
    </w:p>
    <w:p w14:paraId="6B5971CB" w14:textId="77777777" w:rsidR="00126EDD" w:rsidRPr="000B5BA3" w:rsidRDefault="00126EDD" w:rsidP="00126EDD">
      <w:pPr>
        <w:autoSpaceDE w:val="0"/>
        <w:autoSpaceDN w:val="0"/>
        <w:adjustRightInd w:val="0"/>
        <w:spacing w:after="0" w:line="360" w:lineRule="auto"/>
        <w:ind w:right="-2410"/>
        <w:rPr>
          <w:rFonts w:ascii="Arial" w:hAnsi="Arial" w:cs="Arial"/>
          <w:b/>
          <w:bCs/>
          <w:color w:val="000000"/>
        </w:rPr>
      </w:pPr>
    </w:p>
    <w:p w14:paraId="616F7653" w14:textId="168F1636" w:rsidR="00126EDD" w:rsidRPr="00DA6A21" w:rsidRDefault="002811BF" w:rsidP="00126EDD">
      <w:pPr>
        <w:autoSpaceDE w:val="0"/>
        <w:autoSpaceDN w:val="0"/>
        <w:adjustRightInd w:val="0"/>
        <w:spacing w:after="0" w:line="360" w:lineRule="auto"/>
        <w:ind w:right="-1984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Prokura und Teamleitung Entwicklung: 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  <w:t xml:space="preserve">Jannis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Fieml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neu in der Geschäftsleitung von </w:t>
      </w:r>
      <w:proofErr w:type="spellStart"/>
      <w:r w:rsidR="00DA6A21" w:rsidRPr="00DA6A21">
        <w:rPr>
          <w:rFonts w:ascii="Arial" w:hAnsi="Arial" w:cs="Arial"/>
          <w:b/>
          <w:bCs/>
          <w:color w:val="000000"/>
          <w:sz w:val="28"/>
          <w:szCs w:val="28"/>
        </w:rPr>
        <w:t>Vivax</w:t>
      </w:r>
      <w:proofErr w:type="spellEnd"/>
      <w:r w:rsidR="00DA6A21" w:rsidRPr="00DA6A21">
        <w:rPr>
          <w:rFonts w:ascii="Arial" w:hAnsi="Arial" w:cs="Arial"/>
          <w:b/>
          <w:bCs/>
          <w:color w:val="000000"/>
          <w:sz w:val="28"/>
          <w:szCs w:val="28"/>
        </w:rPr>
        <w:t xml:space="preserve"> Solution</w:t>
      </w:r>
    </w:p>
    <w:p w14:paraId="4D26B563" w14:textId="6C6AD9C8" w:rsidR="002811BF" w:rsidRDefault="002811BF" w:rsidP="00126EDD">
      <w:pPr>
        <w:spacing w:line="360" w:lineRule="auto"/>
        <w:rPr>
          <w:rFonts w:ascii="Arial" w:hAnsi="Arial" w:cs="Tahoma"/>
          <w:b/>
          <w:bCs/>
          <w:sz w:val="20"/>
          <w:szCs w:val="20"/>
        </w:rPr>
      </w:pPr>
    </w:p>
    <w:p w14:paraId="20A026B4" w14:textId="701F7D1A" w:rsidR="00381049" w:rsidRDefault="00DA6A21" w:rsidP="00126EDD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Jannis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Fieml</w:t>
      </w:r>
      <w:proofErr w:type="spellEnd"/>
      <w:r w:rsidR="002811BF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r w:rsidR="000A7E9E">
        <w:rPr>
          <w:rFonts w:ascii="Arial" w:hAnsi="Arial" w:cs="Arial"/>
          <w:b/>
          <w:bCs/>
          <w:color w:val="000000"/>
          <w:sz w:val="20"/>
          <w:szCs w:val="20"/>
        </w:rPr>
        <w:t>27</w:t>
      </w:r>
      <w:r w:rsidR="002811BF">
        <w:rPr>
          <w:rFonts w:ascii="Arial" w:hAnsi="Arial" w:cs="Arial"/>
          <w:b/>
          <w:bCs/>
          <w:color w:val="000000"/>
          <w:sz w:val="20"/>
          <w:szCs w:val="20"/>
        </w:rPr>
        <w:t xml:space="preserve">) ist zum 1. Januar 2023 in die Geschäftsleitung der </w:t>
      </w:r>
      <w:proofErr w:type="spellStart"/>
      <w:r w:rsidR="002811BF">
        <w:rPr>
          <w:rFonts w:ascii="Arial" w:hAnsi="Arial" w:cs="Arial"/>
          <w:b/>
          <w:bCs/>
          <w:color w:val="000000"/>
          <w:sz w:val="20"/>
          <w:szCs w:val="20"/>
        </w:rPr>
        <w:t>Vivax</w:t>
      </w:r>
      <w:proofErr w:type="spellEnd"/>
      <w:r w:rsidR="002811BF">
        <w:rPr>
          <w:rFonts w:ascii="Arial" w:hAnsi="Arial" w:cs="Arial"/>
          <w:b/>
          <w:bCs/>
          <w:color w:val="000000"/>
          <w:sz w:val="20"/>
          <w:szCs w:val="20"/>
        </w:rPr>
        <w:t xml:space="preserve"> Solution GmbH aufgenommen worden</w:t>
      </w:r>
      <w:r w:rsidR="00162140" w:rsidRPr="00DA6A2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2811BF">
        <w:rPr>
          <w:rFonts w:ascii="Arial" w:hAnsi="Arial" w:cs="Arial"/>
          <w:b/>
          <w:bCs/>
          <w:color w:val="000000"/>
          <w:sz w:val="20"/>
          <w:szCs w:val="20"/>
        </w:rPr>
        <w:t xml:space="preserve"> Als Prokurist ist er ab sofort verantwortlich für den Team Lead Entwicklung bei der Software-Tochter des Glasfaser-Spezialisten </w:t>
      </w:r>
      <w:proofErr w:type="spellStart"/>
      <w:r w:rsidR="002811BF">
        <w:rPr>
          <w:rFonts w:ascii="Arial" w:hAnsi="Arial" w:cs="Arial"/>
          <w:b/>
          <w:bCs/>
          <w:color w:val="000000"/>
          <w:sz w:val="20"/>
          <w:szCs w:val="20"/>
        </w:rPr>
        <w:t>tktVivax</w:t>
      </w:r>
      <w:proofErr w:type="spellEnd"/>
      <w:r w:rsidR="002811BF">
        <w:rPr>
          <w:rFonts w:ascii="Arial" w:hAnsi="Arial" w:cs="Arial"/>
          <w:b/>
          <w:bCs/>
          <w:color w:val="000000"/>
          <w:sz w:val="20"/>
          <w:szCs w:val="20"/>
        </w:rPr>
        <w:t xml:space="preserve"> Group. „Jannis </w:t>
      </w:r>
      <w:proofErr w:type="spellStart"/>
      <w:r w:rsidR="002811BF">
        <w:rPr>
          <w:rFonts w:ascii="Arial" w:hAnsi="Arial" w:cs="Arial"/>
          <w:b/>
          <w:bCs/>
          <w:color w:val="000000"/>
          <w:sz w:val="20"/>
          <w:szCs w:val="20"/>
        </w:rPr>
        <w:t>Fieml</w:t>
      </w:r>
      <w:proofErr w:type="spellEnd"/>
      <w:r w:rsidR="002811BF">
        <w:rPr>
          <w:rFonts w:ascii="Arial" w:hAnsi="Arial" w:cs="Arial"/>
          <w:b/>
          <w:bCs/>
          <w:color w:val="000000"/>
          <w:sz w:val="20"/>
          <w:szCs w:val="20"/>
        </w:rPr>
        <w:t xml:space="preserve"> hat seit seinem Start bei </w:t>
      </w:r>
      <w:proofErr w:type="spellStart"/>
      <w:r w:rsidR="002811BF">
        <w:rPr>
          <w:rFonts w:ascii="Arial" w:hAnsi="Arial" w:cs="Arial"/>
          <w:b/>
          <w:bCs/>
          <w:color w:val="000000"/>
          <w:sz w:val="20"/>
          <w:szCs w:val="20"/>
        </w:rPr>
        <w:t>Vivax</w:t>
      </w:r>
      <w:proofErr w:type="spellEnd"/>
      <w:r w:rsidR="002811BF">
        <w:rPr>
          <w:rFonts w:ascii="Arial" w:hAnsi="Arial" w:cs="Arial"/>
          <w:b/>
          <w:bCs/>
          <w:color w:val="000000"/>
          <w:sz w:val="20"/>
          <w:szCs w:val="20"/>
        </w:rPr>
        <w:t xml:space="preserve"> Solution zahlreiche wer</w:t>
      </w:r>
      <w:r w:rsidR="0082641D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2811BF">
        <w:rPr>
          <w:rFonts w:ascii="Arial" w:hAnsi="Arial" w:cs="Arial"/>
          <w:b/>
          <w:bCs/>
          <w:color w:val="000000"/>
          <w:sz w:val="20"/>
          <w:szCs w:val="20"/>
        </w:rPr>
        <w:t xml:space="preserve">volle Impulse </w:t>
      </w:r>
      <w:r w:rsidR="0082641D">
        <w:rPr>
          <w:rFonts w:ascii="Arial" w:hAnsi="Arial" w:cs="Arial"/>
          <w:b/>
          <w:bCs/>
          <w:color w:val="000000"/>
          <w:sz w:val="20"/>
          <w:szCs w:val="20"/>
        </w:rPr>
        <w:t xml:space="preserve">in der Entwicklung gesetzt. In seiner künftigen Rolle hat er nun den nötigen Gestaltungsspielraum, um unsere Anwendungen noch besser auf die Bedürfnisse unserer Kunden auszurichten“, so Sven Siebrands, Geschäftsführer der </w:t>
      </w:r>
      <w:proofErr w:type="spellStart"/>
      <w:r w:rsidR="0082641D">
        <w:rPr>
          <w:rFonts w:ascii="Arial" w:hAnsi="Arial" w:cs="Arial"/>
          <w:b/>
          <w:bCs/>
          <w:color w:val="000000"/>
          <w:sz w:val="20"/>
          <w:szCs w:val="20"/>
        </w:rPr>
        <w:t>Vivax</w:t>
      </w:r>
      <w:proofErr w:type="spellEnd"/>
      <w:r w:rsidR="0082641D">
        <w:rPr>
          <w:rFonts w:ascii="Arial" w:hAnsi="Arial" w:cs="Arial"/>
          <w:b/>
          <w:bCs/>
          <w:color w:val="000000"/>
          <w:sz w:val="20"/>
          <w:szCs w:val="20"/>
        </w:rPr>
        <w:t xml:space="preserve"> Solution GmbH. </w:t>
      </w:r>
    </w:p>
    <w:p w14:paraId="7F33F2CD" w14:textId="77777777" w:rsidR="00DB0C55" w:rsidRDefault="00DB0C55" w:rsidP="00DB0C5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81049">
        <w:rPr>
          <w:rFonts w:ascii="Arial" w:hAnsi="Arial" w:cs="Arial"/>
          <w:color w:val="000000"/>
          <w:sz w:val="20"/>
          <w:szCs w:val="20"/>
        </w:rPr>
        <w:t xml:space="preserve">Jannis </w:t>
      </w:r>
      <w:proofErr w:type="spellStart"/>
      <w:r w:rsidRPr="00381049">
        <w:rPr>
          <w:rFonts w:ascii="Arial" w:hAnsi="Arial" w:cs="Arial"/>
          <w:color w:val="000000"/>
          <w:sz w:val="20"/>
          <w:szCs w:val="20"/>
        </w:rPr>
        <w:t>Fieml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der 2019 nach einer Fachinformatiker-Ausbildung und einem Informatikstudium seine Karriere bei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Vivax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Solution gestartet hatte,</w:t>
      </w:r>
      <w:r w:rsidRPr="00381049">
        <w:rPr>
          <w:rFonts w:ascii="Arial" w:hAnsi="Arial" w:cs="Arial"/>
          <w:color w:val="000000"/>
          <w:sz w:val="20"/>
          <w:szCs w:val="20"/>
        </w:rPr>
        <w:t xml:space="preserve"> ist künftig für alle drei Produktlinien </w:t>
      </w:r>
      <w:r>
        <w:rPr>
          <w:rFonts w:ascii="Arial" w:hAnsi="Arial" w:cs="Arial"/>
          <w:color w:val="000000"/>
          <w:sz w:val="20"/>
          <w:szCs w:val="20"/>
        </w:rPr>
        <w:t xml:space="preserve">von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Vivax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Solution </w:t>
      </w:r>
      <w:r w:rsidRPr="00381049">
        <w:rPr>
          <w:rFonts w:ascii="Arial" w:hAnsi="Arial" w:cs="Arial"/>
          <w:color w:val="000000"/>
          <w:sz w:val="20"/>
          <w:szCs w:val="20"/>
        </w:rPr>
        <w:t xml:space="preserve">zuständig. Dazu gehören DICLINA, das Managementsystem für Breitbandkunden und -netze, das Breitband-Cockpit für die Überwachung laufender Glasfaserprojekte sowie </w:t>
      </w:r>
      <w:proofErr w:type="spellStart"/>
      <w:r w:rsidRPr="00381049">
        <w:rPr>
          <w:rFonts w:ascii="Arial" w:hAnsi="Arial" w:cs="Arial"/>
          <w:color w:val="000000"/>
          <w:sz w:val="20"/>
          <w:szCs w:val="20"/>
        </w:rPr>
        <w:t>Vivax</w:t>
      </w:r>
      <w:proofErr w:type="spellEnd"/>
      <w:r w:rsidRPr="00381049">
        <w:rPr>
          <w:rFonts w:ascii="Arial" w:hAnsi="Arial" w:cs="Arial"/>
          <w:color w:val="000000"/>
          <w:sz w:val="20"/>
          <w:szCs w:val="20"/>
        </w:rPr>
        <w:t xml:space="preserve"> Analytics </w:t>
      </w:r>
      <w:proofErr w:type="spellStart"/>
      <w:r w:rsidRPr="00381049">
        <w:rPr>
          <w:rFonts w:ascii="Arial" w:hAnsi="Arial" w:cs="Arial"/>
          <w:color w:val="000000"/>
          <w:sz w:val="20"/>
          <w:szCs w:val="20"/>
        </w:rPr>
        <w:t>ProCo</w:t>
      </w:r>
      <w:proofErr w:type="spellEnd"/>
      <w:r w:rsidRPr="00381049">
        <w:rPr>
          <w:rFonts w:ascii="Arial" w:hAnsi="Arial" w:cs="Arial"/>
          <w:color w:val="000000"/>
          <w:sz w:val="20"/>
          <w:szCs w:val="20"/>
        </w:rPr>
        <w:t>, ein Werkzeug, das Unternehmen dabei unterstützt, die volle Transparenz über ihre Prozesse und alle damit verbundenen Kosten und Aufwände zu bekommen.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6F69DBC" w14:textId="77777777" w:rsidR="00DB0C55" w:rsidRPr="00381049" w:rsidRDefault="00DB0C55" w:rsidP="00DB0C5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Neben diesen Software-Produkten wickelt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Vivax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Solution auch alle d</w:t>
      </w:r>
      <w:r w:rsidRPr="00381049">
        <w:rPr>
          <w:rFonts w:ascii="Arial" w:hAnsi="Arial" w:cs="Arial"/>
          <w:color w:val="000000"/>
          <w:sz w:val="20"/>
          <w:szCs w:val="20"/>
        </w:rPr>
        <w:t xml:space="preserve">azugehörigen Prozesse für </w:t>
      </w:r>
      <w:r>
        <w:rPr>
          <w:rFonts w:ascii="Arial" w:hAnsi="Arial" w:cs="Arial"/>
          <w:color w:val="000000"/>
          <w:sz w:val="20"/>
          <w:szCs w:val="20"/>
        </w:rPr>
        <w:t>Kunden im Breitbandumfeld</w:t>
      </w:r>
      <w:r w:rsidRPr="00381049">
        <w:rPr>
          <w:rFonts w:ascii="Arial" w:hAnsi="Arial" w:cs="Arial"/>
          <w:color w:val="000000"/>
          <w:sz w:val="20"/>
          <w:szCs w:val="20"/>
        </w:rPr>
        <w:t xml:space="preserve"> ab. Dauerhaft oder befristet übern</w:t>
      </w:r>
      <w:r>
        <w:rPr>
          <w:rFonts w:ascii="Arial" w:hAnsi="Arial" w:cs="Arial"/>
          <w:color w:val="000000"/>
          <w:sz w:val="20"/>
          <w:szCs w:val="20"/>
        </w:rPr>
        <w:t>immt das Unternehmen dabei</w:t>
      </w:r>
      <w:r w:rsidRPr="00381049">
        <w:rPr>
          <w:rFonts w:ascii="Arial" w:hAnsi="Arial" w:cs="Arial"/>
          <w:color w:val="000000"/>
          <w:sz w:val="20"/>
          <w:szCs w:val="20"/>
        </w:rPr>
        <w:t xml:space="preserve"> den kompletten ISP-Betrieb oder unterstütz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381049">
        <w:rPr>
          <w:rFonts w:ascii="Arial" w:hAnsi="Arial" w:cs="Arial"/>
          <w:color w:val="000000"/>
          <w:sz w:val="20"/>
          <w:szCs w:val="20"/>
        </w:rPr>
        <w:t xml:space="preserve"> bei Teilprozessen</w:t>
      </w:r>
      <w:r>
        <w:rPr>
          <w:rFonts w:ascii="Arial" w:hAnsi="Arial" w:cs="Arial"/>
          <w:color w:val="000000"/>
          <w:sz w:val="20"/>
          <w:szCs w:val="20"/>
        </w:rPr>
        <w:t xml:space="preserve"> vom Kundenmanagement über die Abrechnung oder die Hotline bis hin zum Logistikmanagement. Darüber hinaus bietet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Vivax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Solution </w:t>
      </w:r>
      <w:r w:rsidRPr="00381049">
        <w:rPr>
          <w:rFonts w:ascii="Arial" w:hAnsi="Arial" w:cs="Arial"/>
          <w:color w:val="000000"/>
          <w:sz w:val="20"/>
          <w:szCs w:val="20"/>
        </w:rPr>
        <w:t>gezielte Ausbildungsprogramme</w:t>
      </w:r>
      <w:r>
        <w:rPr>
          <w:rFonts w:ascii="Arial" w:hAnsi="Arial" w:cs="Arial"/>
          <w:color w:val="000000"/>
          <w:sz w:val="20"/>
          <w:szCs w:val="20"/>
        </w:rPr>
        <w:t xml:space="preserve"> für</w:t>
      </w:r>
      <w:r w:rsidRPr="00381049">
        <w:rPr>
          <w:rFonts w:ascii="Arial" w:hAnsi="Arial" w:cs="Arial"/>
          <w:color w:val="000000"/>
          <w:sz w:val="20"/>
          <w:szCs w:val="20"/>
        </w:rPr>
        <w:t xml:space="preserve"> Mitarbeiter</w:t>
      </w:r>
      <w:r>
        <w:rPr>
          <w:rFonts w:ascii="Arial" w:hAnsi="Arial" w:cs="Arial"/>
          <w:color w:val="000000"/>
          <w:sz w:val="20"/>
          <w:szCs w:val="20"/>
        </w:rPr>
        <w:t xml:space="preserve"> und Mitarbeiterinnen</w:t>
      </w:r>
      <w:r w:rsidRPr="00381049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die </w:t>
      </w:r>
      <w:r w:rsidRPr="00381049">
        <w:rPr>
          <w:rFonts w:ascii="Arial" w:hAnsi="Arial" w:cs="Arial"/>
          <w:color w:val="000000"/>
          <w:sz w:val="20"/>
          <w:szCs w:val="20"/>
        </w:rPr>
        <w:t xml:space="preserve">Telekommunikationsnetze eigenständig betreiben </w:t>
      </w:r>
      <w:r>
        <w:rPr>
          <w:rFonts w:ascii="Arial" w:hAnsi="Arial" w:cs="Arial"/>
          <w:color w:val="000000"/>
          <w:sz w:val="20"/>
          <w:szCs w:val="20"/>
        </w:rPr>
        <w:t>wollen.</w:t>
      </w:r>
    </w:p>
    <w:p w14:paraId="4A07CEE8" w14:textId="6B5A9050" w:rsidR="002F66DA" w:rsidRDefault="002F66DA" w:rsidP="00126EDD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0C5F4A45" w14:textId="3EB100A0" w:rsidR="009A21D7" w:rsidRDefault="009A21D7" w:rsidP="00126EDD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2771BF83" w14:textId="77777777" w:rsidR="009A21D7" w:rsidRPr="002811BF" w:rsidRDefault="009A21D7" w:rsidP="00126EDD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3261"/>
        <w:gridCol w:w="4819"/>
      </w:tblGrid>
      <w:tr w:rsidR="00DE2BF2" w:rsidRPr="000655B7" w14:paraId="5643BC16" w14:textId="77777777" w:rsidTr="00DE2BF2">
        <w:tc>
          <w:tcPr>
            <w:tcW w:w="3261" w:type="dxa"/>
            <w:shd w:val="clear" w:color="auto" w:fill="auto"/>
          </w:tcPr>
          <w:p w14:paraId="39ED843B" w14:textId="77777777" w:rsidR="00E14F96" w:rsidRDefault="00126EDD" w:rsidP="00BA0B62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left="-108" w:right="176"/>
              <w:rPr>
                <w:rFonts w:ascii="Arial" w:hAnsi="Arial" w:cs="Calibri"/>
                <w:b/>
                <w:sz w:val="16"/>
                <w:szCs w:val="26"/>
                <w:lang w:eastAsia="de-DE"/>
              </w:rPr>
            </w:pPr>
            <w:r w:rsidRPr="000655B7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t>Kontaktdaten:</w:t>
            </w:r>
          </w:p>
          <w:p w14:paraId="70903C3E" w14:textId="3F22833B" w:rsidR="00126EDD" w:rsidRDefault="00126EDD" w:rsidP="00BA0B62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left="-108" w:right="176"/>
              <w:rPr>
                <w:rFonts w:ascii="Arial" w:hAnsi="Arial" w:cs="Calibri"/>
                <w:sz w:val="16"/>
                <w:szCs w:val="26"/>
                <w:lang w:eastAsia="de-DE"/>
              </w:rPr>
            </w:pPr>
            <w:proofErr w:type="spellStart"/>
            <w:r>
              <w:rPr>
                <w:rFonts w:ascii="Arial" w:hAnsi="Arial" w:cs="Calibri"/>
                <w:sz w:val="16"/>
                <w:szCs w:val="26"/>
                <w:lang w:eastAsia="de-DE"/>
              </w:rPr>
              <w:t>tkt</w:t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t>Vivax</w:t>
            </w:r>
            <w:proofErr w:type="spellEnd"/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GmbH – Dirk </w:t>
            </w:r>
            <w:proofErr w:type="spellStart"/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t>Fieml</w:t>
            </w:r>
            <w:proofErr w:type="spellEnd"/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  <w:r w:rsidR="00BA0B62" w:rsidRPr="00BA0B62">
              <w:rPr>
                <w:rFonts w:ascii="Arial" w:hAnsi="Arial" w:cs="Calibri"/>
                <w:sz w:val="16"/>
                <w:szCs w:val="26"/>
                <w:lang w:eastAsia="de-DE"/>
              </w:rPr>
              <w:t>Fasanenstr. 3</w:t>
            </w:r>
            <w:r w:rsidR="00BA0B62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3 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t>–</w:t>
            </w:r>
            <w:r w:rsidRPr="007B0E5E">
              <w:rPr>
                <w:rFonts w:ascii="Arial" w:hAnsi="Arial" w:cs="Calibri"/>
                <w:sz w:val="16"/>
                <w:szCs w:val="26"/>
                <w:lang w:eastAsia="de-DE"/>
              </w:rPr>
              <w:t> 1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t>0719</w:t>
            </w:r>
            <w:r w:rsidRPr="007B0E5E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Berlin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  <w:r w:rsidRPr="008457BE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Tel: </w:t>
            </w:r>
            <w:r w:rsidRPr="00044557">
              <w:rPr>
                <w:rFonts w:ascii="Arial" w:hAnsi="Arial" w:cs="Calibri"/>
                <w:sz w:val="16"/>
                <w:szCs w:val="26"/>
                <w:lang w:eastAsia="de-DE"/>
              </w:rPr>
              <w:t>+49 30 235 919 200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  <w:hyperlink r:id="rId7" w:history="1">
              <w:r w:rsidRPr="00A67290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d.fieml@tkt-vivax.de</w:t>
              </w:r>
            </w:hyperlink>
            <w:r w:rsidRPr="008457BE"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  <w:hyperlink r:id="rId8" w:history="1">
              <w:r w:rsidRPr="006233F9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www.tkt-vivax.de</w:t>
              </w:r>
            </w:hyperlink>
          </w:p>
          <w:p w14:paraId="686402A5" w14:textId="77777777" w:rsidR="00126EDD" w:rsidRPr="004E3948" w:rsidRDefault="00126EDD" w:rsidP="00A05662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240" w:lineRule="auto"/>
              <w:ind w:left="-109" w:right="176"/>
              <w:rPr>
                <w:rFonts w:ascii="Arial" w:hAnsi="Arial" w:cs="Calibri"/>
                <w:b/>
                <w:sz w:val="16"/>
                <w:szCs w:val="26"/>
                <w:lang w:eastAsia="de-DE"/>
              </w:rPr>
            </w:pPr>
          </w:p>
        </w:tc>
        <w:tc>
          <w:tcPr>
            <w:tcW w:w="4819" w:type="dxa"/>
            <w:shd w:val="clear" w:color="auto" w:fill="auto"/>
          </w:tcPr>
          <w:p w14:paraId="5FC651FA" w14:textId="77777777" w:rsidR="00126EDD" w:rsidRPr="000655B7" w:rsidRDefault="00126EDD" w:rsidP="00A056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742"/>
              <w:rPr>
                <w:rFonts w:ascii="Arial" w:hAnsi="Arial" w:cs="Calibri"/>
                <w:b/>
                <w:sz w:val="16"/>
                <w:szCs w:val="26"/>
                <w:lang w:eastAsia="de-DE"/>
              </w:rPr>
            </w:pPr>
            <w:r w:rsidRPr="000655B7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t>Presse- und Öffentlichkeitsarbeit:</w:t>
            </w:r>
            <w:r w:rsidRPr="000655B7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t>Uwe Pagel – Press’n’Relations GmbH</w:t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br/>
              <w:t>Magirusstraße 33 – 89077 Ulm</w:t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br/>
              <w:t xml:space="preserve">Tel.: +49 731 962 87-29 </w:t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  <w:hyperlink r:id="rId9" w:history="1">
              <w:r w:rsidRPr="000655B7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upa@press-n-relations.de</w:t>
              </w:r>
            </w:hyperlink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br/>
              <w:t>www.press-n-relations.com</w:t>
            </w:r>
          </w:p>
        </w:tc>
      </w:tr>
    </w:tbl>
    <w:bookmarkEnd w:id="0"/>
    <w:bookmarkEnd w:id="1"/>
    <w:p w14:paraId="7F9370C7" w14:textId="49D22B95" w:rsidR="00126EDD" w:rsidRPr="009F0F94" w:rsidRDefault="00126EDD" w:rsidP="00126EDD">
      <w:pPr>
        <w:widowControl w:val="0"/>
        <w:autoSpaceDE w:val="0"/>
        <w:autoSpaceDN w:val="0"/>
        <w:adjustRightInd w:val="0"/>
        <w:spacing w:line="240" w:lineRule="auto"/>
        <w:ind w:left="34" w:right="-141"/>
        <w:rPr>
          <w:rFonts w:ascii="Arial" w:hAnsi="Arial" w:cs="Calibri"/>
          <w:sz w:val="16"/>
          <w:szCs w:val="26"/>
          <w:lang w:eastAsia="de-DE"/>
        </w:rPr>
      </w:pPr>
      <w:r w:rsidRPr="004574AD">
        <w:rPr>
          <w:rFonts w:ascii="Arial" w:hAnsi="Arial" w:cs="Calibri"/>
          <w:sz w:val="16"/>
          <w:szCs w:val="26"/>
          <w:lang w:eastAsia="de-DE"/>
        </w:rPr>
        <w:t xml:space="preserve">Die </w:t>
      </w:r>
      <w:proofErr w:type="spellStart"/>
      <w:r w:rsidRPr="004574AD">
        <w:rPr>
          <w:rFonts w:ascii="Arial" w:hAnsi="Arial" w:cs="Calibri"/>
          <w:sz w:val="16"/>
          <w:szCs w:val="26"/>
          <w:lang w:eastAsia="de-DE"/>
        </w:rPr>
        <w:t>tktVivax</w:t>
      </w:r>
      <w:proofErr w:type="spellEnd"/>
      <w:r w:rsidRPr="004574AD">
        <w:rPr>
          <w:rFonts w:ascii="Arial" w:hAnsi="Arial" w:cs="Calibri"/>
          <w:sz w:val="16"/>
          <w:szCs w:val="26"/>
          <w:lang w:eastAsia="de-DE"/>
        </w:rPr>
        <w:t xml:space="preserve"> Group mit Sitz in Berlin und Niederlassungen in Stuttgart, Köln und Hamburg unterstützt ihre Kunden als ganzheitlicher Umsetzungsbegleiter für den Glasfaserausbau. Mit rund 150 Beschäftigten in den Gruppenunternehmen deckt </w:t>
      </w:r>
      <w:proofErr w:type="spellStart"/>
      <w:r w:rsidRPr="004574AD">
        <w:rPr>
          <w:rFonts w:ascii="Arial" w:hAnsi="Arial" w:cs="Calibri"/>
          <w:sz w:val="16"/>
          <w:szCs w:val="26"/>
          <w:lang w:eastAsia="de-DE"/>
        </w:rPr>
        <w:t>tktVivax</w:t>
      </w:r>
      <w:proofErr w:type="spellEnd"/>
      <w:r w:rsidRPr="004574AD">
        <w:rPr>
          <w:rFonts w:ascii="Arial" w:hAnsi="Arial" w:cs="Calibri"/>
          <w:sz w:val="16"/>
          <w:szCs w:val="26"/>
          <w:lang w:eastAsia="de-DE"/>
        </w:rPr>
        <w:t xml:space="preserve"> den kompletten Prozess bei der Planung und Umsetzung von Glasfaserprojekten ab. Die Palette der Leistungen reicht von der Strategiefindung, Business-Analyse und Fördermittelberatung über die Planung und den Bau von Glasfaserinfrastrukturen bis hin zum Vertrieb von Telekommunikations-Produkten und dem Betrieb von Telekommunikationsnetzen. Dazu kommen eigene IT-Lösungen wie etwa das Netz- und Betriebsmanagementsystem DICILINA. Unter dem Dach der </w:t>
      </w:r>
      <w:proofErr w:type="spellStart"/>
      <w:r w:rsidRPr="004574AD">
        <w:rPr>
          <w:rFonts w:ascii="Arial" w:hAnsi="Arial" w:cs="Calibri"/>
          <w:sz w:val="16"/>
          <w:szCs w:val="26"/>
          <w:lang w:eastAsia="de-DE"/>
        </w:rPr>
        <w:t>tktVivax</w:t>
      </w:r>
      <w:proofErr w:type="spellEnd"/>
      <w:r w:rsidRPr="004574AD">
        <w:rPr>
          <w:rFonts w:ascii="Arial" w:hAnsi="Arial" w:cs="Calibri"/>
          <w:sz w:val="16"/>
          <w:szCs w:val="26"/>
          <w:lang w:eastAsia="de-DE"/>
        </w:rPr>
        <w:t xml:space="preserve"> Group sind die Unternehmen </w:t>
      </w:r>
      <w:proofErr w:type="spellStart"/>
      <w:r w:rsidRPr="004574AD">
        <w:rPr>
          <w:rFonts w:ascii="Arial" w:hAnsi="Arial" w:cs="Calibri"/>
          <w:sz w:val="16"/>
          <w:szCs w:val="26"/>
          <w:lang w:eastAsia="de-DE"/>
        </w:rPr>
        <w:t>Vivax</w:t>
      </w:r>
      <w:proofErr w:type="spellEnd"/>
      <w:r w:rsidRPr="004574AD">
        <w:rPr>
          <w:rFonts w:ascii="Arial" w:hAnsi="Arial" w:cs="Calibri"/>
          <w:sz w:val="16"/>
          <w:szCs w:val="26"/>
          <w:lang w:eastAsia="de-DE"/>
        </w:rPr>
        <w:t xml:space="preserve"> Consulting, </w:t>
      </w:r>
      <w:proofErr w:type="spellStart"/>
      <w:r w:rsidRPr="004574AD">
        <w:rPr>
          <w:rFonts w:ascii="Arial" w:hAnsi="Arial" w:cs="Calibri"/>
          <w:sz w:val="16"/>
          <w:szCs w:val="26"/>
          <w:lang w:eastAsia="de-DE"/>
        </w:rPr>
        <w:t>Vivax</w:t>
      </w:r>
      <w:proofErr w:type="spellEnd"/>
      <w:r w:rsidRPr="004574AD">
        <w:rPr>
          <w:rFonts w:ascii="Arial" w:hAnsi="Arial" w:cs="Calibri"/>
          <w:sz w:val="16"/>
          <w:szCs w:val="26"/>
          <w:lang w:eastAsia="de-DE"/>
        </w:rPr>
        <w:t xml:space="preserve"> Engineering, </w:t>
      </w:r>
      <w:proofErr w:type="spellStart"/>
      <w:r w:rsidRPr="004574AD">
        <w:rPr>
          <w:rFonts w:ascii="Arial" w:hAnsi="Arial" w:cs="Calibri"/>
          <w:sz w:val="16"/>
          <w:szCs w:val="26"/>
          <w:lang w:eastAsia="de-DE"/>
        </w:rPr>
        <w:t>Vivax</w:t>
      </w:r>
      <w:proofErr w:type="spellEnd"/>
      <w:r w:rsidRPr="004574AD">
        <w:rPr>
          <w:rFonts w:ascii="Arial" w:hAnsi="Arial" w:cs="Calibri"/>
          <w:sz w:val="16"/>
          <w:szCs w:val="26"/>
          <w:lang w:eastAsia="de-DE"/>
        </w:rPr>
        <w:t xml:space="preserve"> Solution, </w:t>
      </w:r>
      <w:proofErr w:type="spellStart"/>
      <w:r w:rsidRPr="004574AD">
        <w:rPr>
          <w:rFonts w:ascii="Arial" w:hAnsi="Arial" w:cs="Calibri"/>
          <w:sz w:val="16"/>
          <w:szCs w:val="26"/>
          <w:lang w:eastAsia="de-DE"/>
        </w:rPr>
        <w:t>Vivax</w:t>
      </w:r>
      <w:proofErr w:type="spellEnd"/>
      <w:r w:rsidRPr="004574AD">
        <w:rPr>
          <w:rFonts w:ascii="Arial" w:hAnsi="Arial" w:cs="Calibri"/>
          <w:sz w:val="16"/>
          <w:szCs w:val="26"/>
          <w:lang w:eastAsia="de-DE"/>
        </w:rPr>
        <w:t xml:space="preserve"> Net, </w:t>
      </w:r>
      <w:proofErr w:type="spellStart"/>
      <w:r w:rsidRPr="004574AD">
        <w:rPr>
          <w:rFonts w:ascii="Arial" w:hAnsi="Arial" w:cs="Calibri"/>
          <w:sz w:val="16"/>
          <w:szCs w:val="26"/>
          <w:lang w:eastAsia="de-DE"/>
        </w:rPr>
        <w:t>Cogento</w:t>
      </w:r>
      <w:proofErr w:type="spellEnd"/>
      <w:r w:rsidRPr="004574AD">
        <w:rPr>
          <w:rFonts w:ascii="Arial" w:hAnsi="Arial" w:cs="Calibri"/>
          <w:sz w:val="16"/>
          <w:szCs w:val="26"/>
          <w:lang w:eastAsia="de-DE"/>
        </w:rPr>
        <w:t xml:space="preserve"> sowie </w:t>
      </w:r>
      <w:r w:rsidR="002B5436">
        <w:rPr>
          <w:rFonts w:ascii="Arial" w:hAnsi="Arial" w:cs="Calibri"/>
          <w:sz w:val="16"/>
          <w:szCs w:val="26"/>
          <w:lang w:eastAsia="de-DE"/>
        </w:rPr>
        <w:t>die</w:t>
      </w:r>
      <w:r w:rsidRPr="004574AD">
        <w:rPr>
          <w:rFonts w:ascii="Arial" w:hAnsi="Arial" w:cs="Calibri"/>
          <w:sz w:val="16"/>
          <w:szCs w:val="26"/>
          <w:lang w:eastAsia="de-DE"/>
        </w:rPr>
        <w:t xml:space="preserve"> </w:t>
      </w:r>
      <w:proofErr w:type="gramStart"/>
      <w:r w:rsidR="002B5436">
        <w:rPr>
          <w:rFonts w:ascii="Arial" w:hAnsi="Arial" w:cs="Calibri"/>
          <w:sz w:val="16"/>
          <w:szCs w:val="26"/>
          <w:lang w:eastAsia="de-DE"/>
        </w:rPr>
        <w:t>LBG B</w:t>
      </w:r>
      <w:r w:rsidRPr="004574AD">
        <w:rPr>
          <w:rFonts w:ascii="Arial" w:hAnsi="Arial" w:cs="Calibri"/>
          <w:sz w:val="16"/>
          <w:szCs w:val="26"/>
          <w:lang w:eastAsia="de-DE"/>
        </w:rPr>
        <w:t>reitbandgesellschaft</w:t>
      </w:r>
      <w:proofErr w:type="gramEnd"/>
      <w:r w:rsidRPr="004574AD">
        <w:rPr>
          <w:rFonts w:ascii="Arial" w:hAnsi="Arial" w:cs="Calibri"/>
          <w:sz w:val="16"/>
          <w:szCs w:val="26"/>
          <w:lang w:eastAsia="de-DE"/>
        </w:rPr>
        <w:t xml:space="preserve"> angesiedelt. Zielgruppe für Produkte und Dienstleistungen sind sowohl Stadtwerke, Netzbetreiber als auch Kommunalverwaltungen und Landkreise.</w:t>
      </w:r>
    </w:p>
    <w:p w14:paraId="2E55E5C6" w14:textId="014AD25D" w:rsidR="007749DD" w:rsidRPr="00126EDD" w:rsidRDefault="007749DD" w:rsidP="00126EDD"/>
    <w:sectPr w:rsidR="007749DD" w:rsidRPr="00126EDD" w:rsidSect="000E11A2">
      <w:headerReference w:type="default" r:id="rId10"/>
      <w:pgSz w:w="12240" w:h="15840"/>
      <w:pgMar w:top="1799" w:right="3735" w:bottom="99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8B53" w14:textId="77777777" w:rsidR="0080388E" w:rsidRDefault="0080388E" w:rsidP="00BF70FE">
      <w:pPr>
        <w:spacing w:after="0" w:line="240" w:lineRule="auto"/>
      </w:pPr>
      <w:r>
        <w:separator/>
      </w:r>
    </w:p>
  </w:endnote>
  <w:endnote w:type="continuationSeparator" w:id="0">
    <w:p w14:paraId="0E518A28" w14:textId="77777777" w:rsidR="0080388E" w:rsidRDefault="0080388E" w:rsidP="00BF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1632" w14:textId="77777777" w:rsidR="0080388E" w:rsidRDefault="0080388E" w:rsidP="00BF70FE">
      <w:pPr>
        <w:spacing w:after="0" w:line="240" w:lineRule="auto"/>
      </w:pPr>
      <w:r>
        <w:separator/>
      </w:r>
    </w:p>
  </w:footnote>
  <w:footnote w:type="continuationSeparator" w:id="0">
    <w:p w14:paraId="55F66C06" w14:textId="77777777" w:rsidR="0080388E" w:rsidRDefault="0080388E" w:rsidP="00BF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9685" w14:textId="17AFCE79" w:rsidR="00B96701" w:rsidRDefault="00DA6A21" w:rsidP="00DA6A21">
    <w:pPr>
      <w:pStyle w:val="Kopfzeile"/>
      <w:tabs>
        <w:tab w:val="clear" w:pos="9072"/>
      </w:tabs>
      <w:ind w:right="-2551"/>
    </w:pPr>
    <w:r>
      <w:rPr>
        <w:noProof/>
        <w:lang w:eastAsia="de-DE"/>
      </w:rPr>
      <w:drawing>
        <wp:inline distT="0" distB="0" distL="0" distR="0" wp14:anchorId="5B3F53E1" wp14:editId="02231A2C">
          <wp:extent cx="1600160" cy="468929"/>
          <wp:effectExtent l="0" t="0" r="635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181" cy="49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0EC0">
      <w:rPr>
        <w:noProof/>
        <w:lang w:eastAsia="de-DE"/>
      </w:rPr>
      <w:tab/>
    </w:r>
    <w:r w:rsidR="00E14F96">
      <w:rPr>
        <w:noProof/>
        <w:lang w:eastAsia="de-DE"/>
      </w:rPr>
      <w:t xml:space="preserve">        </w:t>
    </w:r>
    <w:r w:rsidR="00E14F96">
      <w:rPr>
        <w:noProof/>
        <w:lang w:eastAsia="de-DE"/>
      </w:rPr>
      <w:tab/>
    </w:r>
    <w:r w:rsidR="00E14F96">
      <w:rPr>
        <w:noProof/>
        <w:lang w:eastAsia="de-DE"/>
      </w:rPr>
      <w:tab/>
    </w:r>
    <w:r w:rsidR="00E14F96">
      <w:rPr>
        <w:noProof/>
        <w:lang w:eastAsia="de-DE"/>
      </w:rPr>
      <w:tab/>
    </w:r>
    <w:r w:rsidR="004F0E10">
      <w:rPr>
        <w:noProof/>
        <w:lang w:eastAsia="de-DE"/>
      </w:rPr>
      <w:drawing>
        <wp:inline distT="0" distB="0" distL="0" distR="0" wp14:anchorId="5DFE89A5" wp14:editId="08F35A48">
          <wp:extent cx="2040475" cy="588245"/>
          <wp:effectExtent l="0" t="0" r="4445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3477" cy="600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01A5">
      <w:rPr>
        <w:noProof/>
        <w:lang w:eastAsia="de-DE"/>
      </w:rPr>
      <w:t xml:space="preserve"> </w:t>
    </w:r>
    <w:r w:rsidR="00A201A5">
      <w:rPr>
        <w:noProof/>
        <w:lang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43E9"/>
    <w:multiLevelType w:val="hybridMultilevel"/>
    <w:tmpl w:val="DE948948"/>
    <w:lvl w:ilvl="0" w:tplc="552AB8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39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771EB9D-59BD-4437-BD18-A675BACDF941}"/>
    <w:docVar w:name="dgnword-eventsink" w:val="316488199920"/>
  </w:docVars>
  <w:rsids>
    <w:rsidRoot w:val="00E37F9E"/>
    <w:rsid w:val="0000041E"/>
    <w:rsid w:val="00003497"/>
    <w:rsid w:val="00006AC0"/>
    <w:rsid w:val="0001276C"/>
    <w:rsid w:val="00013970"/>
    <w:rsid w:val="00026CFD"/>
    <w:rsid w:val="00037481"/>
    <w:rsid w:val="00037B8A"/>
    <w:rsid w:val="00040DBA"/>
    <w:rsid w:val="00041A6A"/>
    <w:rsid w:val="00044557"/>
    <w:rsid w:val="000541F5"/>
    <w:rsid w:val="00054244"/>
    <w:rsid w:val="0006200B"/>
    <w:rsid w:val="00065270"/>
    <w:rsid w:val="000655B7"/>
    <w:rsid w:val="0006582C"/>
    <w:rsid w:val="00065961"/>
    <w:rsid w:val="000678EA"/>
    <w:rsid w:val="0006791F"/>
    <w:rsid w:val="0007688A"/>
    <w:rsid w:val="00076CE4"/>
    <w:rsid w:val="000823CF"/>
    <w:rsid w:val="0008686C"/>
    <w:rsid w:val="00091E09"/>
    <w:rsid w:val="0009573A"/>
    <w:rsid w:val="000A0F03"/>
    <w:rsid w:val="000A1C71"/>
    <w:rsid w:val="000A1E6B"/>
    <w:rsid w:val="000A4C5E"/>
    <w:rsid w:val="000A4C93"/>
    <w:rsid w:val="000A5BF7"/>
    <w:rsid w:val="000A7E9E"/>
    <w:rsid w:val="000B5BA3"/>
    <w:rsid w:val="000C2AF9"/>
    <w:rsid w:val="000C46B3"/>
    <w:rsid w:val="000C4746"/>
    <w:rsid w:val="000D4DE3"/>
    <w:rsid w:val="000E087D"/>
    <w:rsid w:val="000E11A2"/>
    <w:rsid w:val="000E7CE7"/>
    <w:rsid w:val="000E7DB1"/>
    <w:rsid w:val="000F2111"/>
    <w:rsid w:val="000F4F9D"/>
    <w:rsid w:val="00101591"/>
    <w:rsid w:val="0010198B"/>
    <w:rsid w:val="00104674"/>
    <w:rsid w:val="00104719"/>
    <w:rsid w:val="00106821"/>
    <w:rsid w:val="00121300"/>
    <w:rsid w:val="00126EDD"/>
    <w:rsid w:val="00131142"/>
    <w:rsid w:val="0013234F"/>
    <w:rsid w:val="00132DC4"/>
    <w:rsid w:val="00135237"/>
    <w:rsid w:val="00143BC5"/>
    <w:rsid w:val="0014450F"/>
    <w:rsid w:val="001449F6"/>
    <w:rsid w:val="001457D5"/>
    <w:rsid w:val="00155D50"/>
    <w:rsid w:val="00157861"/>
    <w:rsid w:val="00162140"/>
    <w:rsid w:val="001700C4"/>
    <w:rsid w:val="00170B30"/>
    <w:rsid w:val="00172009"/>
    <w:rsid w:val="00181FBB"/>
    <w:rsid w:val="001849A2"/>
    <w:rsid w:val="00187FC7"/>
    <w:rsid w:val="00194EEC"/>
    <w:rsid w:val="00196421"/>
    <w:rsid w:val="001A14A1"/>
    <w:rsid w:val="001A220F"/>
    <w:rsid w:val="001B01DF"/>
    <w:rsid w:val="001C51EC"/>
    <w:rsid w:val="001C7838"/>
    <w:rsid w:val="001D2C4D"/>
    <w:rsid w:val="001D2FB7"/>
    <w:rsid w:val="001E3CB7"/>
    <w:rsid w:val="001E6755"/>
    <w:rsid w:val="001E6F47"/>
    <w:rsid w:val="001F293E"/>
    <w:rsid w:val="0020049A"/>
    <w:rsid w:val="00205941"/>
    <w:rsid w:val="00207A9F"/>
    <w:rsid w:val="00211928"/>
    <w:rsid w:val="00213AF7"/>
    <w:rsid w:val="00221178"/>
    <w:rsid w:val="00221777"/>
    <w:rsid w:val="00233C8C"/>
    <w:rsid w:val="00235F66"/>
    <w:rsid w:val="00236787"/>
    <w:rsid w:val="00237217"/>
    <w:rsid w:val="00244E90"/>
    <w:rsid w:val="00255BB8"/>
    <w:rsid w:val="00262A08"/>
    <w:rsid w:val="00265589"/>
    <w:rsid w:val="00274204"/>
    <w:rsid w:val="002745F8"/>
    <w:rsid w:val="002757A3"/>
    <w:rsid w:val="002811BF"/>
    <w:rsid w:val="0028558F"/>
    <w:rsid w:val="0028717A"/>
    <w:rsid w:val="002A7D5D"/>
    <w:rsid w:val="002A7E29"/>
    <w:rsid w:val="002B1340"/>
    <w:rsid w:val="002B245C"/>
    <w:rsid w:val="002B36BE"/>
    <w:rsid w:val="002B3E9E"/>
    <w:rsid w:val="002B5436"/>
    <w:rsid w:val="002C01AF"/>
    <w:rsid w:val="002D5B66"/>
    <w:rsid w:val="002D6045"/>
    <w:rsid w:val="002E0481"/>
    <w:rsid w:val="002E1504"/>
    <w:rsid w:val="002E33BB"/>
    <w:rsid w:val="002E6EA0"/>
    <w:rsid w:val="002F1BFF"/>
    <w:rsid w:val="002F66DA"/>
    <w:rsid w:val="002F6E7A"/>
    <w:rsid w:val="0030091A"/>
    <w:rsid w:val="00304113"/>
    <w:rsid w:val="00304144"/>
    <w:rsid w:val="00314048"/>
    <w:rsid w:val="00315669"/>
    <w:rsid w:val="00321DE9"/>
    <w:rsid w:val="003228B7"/>
    <w:rsid w:val="003274D8"/>
    <w:rsid w:val="00341A34"/>
    <w:rsid w:val="0035048A"/>
    <w:rsid w:val="00350A47"/>
    <w:rsid w:val="0035256E"/>
    <w:rsid w:val="00362AE7"/>
    <w:rsid w:val="00381049"/>
    <w:rsid w:val="00394D5C"/>
    <w:rsid w:val="003953CA"/>
    <w:rsid w:val="003A2746"/>
    <w:rsid w:val="003A3B30"/>
    <w:rsid w:val="003A43CA"/>
    <w:rsid w:val="003A6602"/>
    <w:rsid w:val="003A6E32"/>
    <w:rsid w:val="003A7B0C"/>
    <w:rsid w:val="003B1A9C"/>
    <w:rsid w:val="003B4407"/>
    <w:rsid w:val="003B6004"/>
    <w:rsid w:val="003B69BD"/>
    <w:rsid w:val="003C0B6F"/>
    <w:rsid w:val="003C0FC2"/>
    <w:rsid w:val="003C12F5"/>
    <w:rsid w:val="003C475B"/>
    <w:rsid w:val="003D63AC"/>
    <w:rsid w:val="003D642E"/>
    <w:rsid w:val="003D7AC5"/>
    <w:rsid w:val="003E1E07"/>
    <w:rsid w:val="003F5618"/>
    <w:rsid w:val="003F5E46"/>
    <w:rsid w:val="00402F7C"/>
    <w:rsid w:val="00406C69"/>
    <w:rsid w:val="00406EFB"/>
    <w:rsid w:val="004112BE"/>
    <w:rsid w:val="004137FD"/>
    <w:rsid w:val="00415B45"/>
    <w:rsid w:val="00427AD2"/>
    <w:rsid w:val="004306B3"/>
    <w:rsid w:val="00437155"/>
    <w:rsid w:val="004422BD"/>
    <w:rsid w:val="004467C0"/>
    <w:rsid w:val="004540FC"/>
    <w:rsid w:val="00454989"/>
    <w:rsid w:val="00455A88"/>
    <w:rsid w:val="004574AD"/>
    <w:rsid w:val="004638B5"/>
    <w:rsid w:val="00463FE6"/>
    <w:rsid w:val="00465527"/>
    <w:rsid w:val="00465CBB"/>
    <w:rsid w:val="004713E0"/>
    <w:rsid w:val="004731DE"/>
    <w:rsid w:val="00473FBA"/>
    <w:rsid w:val="004810F6"/>
    <w:rsid w:val="00485A86"/>
    <w:rsid w:val="0049799F"/>
    <w:rsid w:val="00497AEF"/>
    <w:rsid w:val="004A425F"/>
    <w:rsid w:val="004A7502"/>
    <w:rsid w:val="004B0D7E"/>
    <w:rsid w:val="004B3A46"/>
    <w:rsid w:val="004D73D6"/>
    <w:rsid w:val="004E2673"/>
    <w:rsid w:val="004E3948"/>
    <w:rsid w:val="004E3F39"/>
    <w:rsid w:val="004E5B2F"/>
    <w:rsid w:val="004F09E6"/>
    <w:rsid w:val="004F0E10"/>
    <w:rsid w:val="004F25A7"/>
    <w:rsid w:val="004F5892"/>
    <w:rsid w:val="005048EC"/>
    <w:rsid w:val="005071AD"/>
    <w:rsid w:val="00521E6A"/>
    <w:rsid w:val="00525CC8"/>
    <w:rsid w:val="005308AD"/>
    <w:rsid w:val="005322F6"/>
    <w:rsid w:val="00532602"/>
    <w:rsid w:val="00532783"/>
    <w:rsid w:val="0053379A"/>
    <w:rsid w:val="00534D80"/>
    <w:rsid w:val="005424FE"/>
    <w:rsid w:val="00543BF4"/>
    <w:rsid w:val="00556FEE"/>
    <w:rsid w:val="005577A0"/>
    <w:rsid w:val="00557F58"/>
    <w:rsid w:val="00563754"/>
    <w:rsid w:val="00564676"/>
    <w:rsid w:val="00565D15"/>
    <w:rsid w:val="005739E1"/>
    <w:rsid w:val="00576A90"/>
    <w:rsid w:val="00576E59"/>
    <w:rsid w:val="00580F7D"/>
    <w:rsid w:val="00582ECD"/>
    <w:rsid w:val="00591D88"/>
    <w:rsid w:val="005926D7"/>
    <w:rsid w:val="005958C2"/>
    <w:rsid w:val="00596BC4"/>
    <w:rsid w:val="005B2C0D"/>
    <w:rsid w:val="005B3C72"/>
    <w:rsid w:val="005B50F1"/>
    <w:rsid w:val="005D3D1E"/>
    <w:rsid w:val="005D61BC"/>
    <w:rsid w:val="005E1591"/>
    <w:rsid w:val="005E204F"/>
    <w:rsid w:val="005F2DF5"/>
    <w:rsid w:val="005F5177"/>
    <w:rsid w:val="005F63B7"/>
    <w:rsid w:val="0060472D"/>
    <w:rsid w:val="00605163"/>
    <w:rsid w:val="00613B84"/>
    <w:rsid w:val="006166CF"/>
    <w:rsid w:val="00630497"/>
    <w:rsid w:val="00632072"/>
    <w:rsid w:val="00632BA3"/>
    <w:rsid w:val="00633111"/>
    <w:rsid w:val="00640EED"/>
    <w:rsid w:val="00650109"/>
    <w:rsid w:val="00650F5E"/>
    <w:rsid w:val="006514AF"/>
    <w:rsid w:val="006563BE"/>
    <w:rsid w:val="00664FF9"/>
    <w:rsid w:val="006663C8"/>
    <w:rsid w:val="00666C16"/>
    <w:rsid w:val="0067331D"/>
    <w:rsid w:val="00674BD0"/>
    <w:rsid w:val="00681349"/>
    <w:rsid w:val="006824CB"/>
    <w:rsid w:val="00682686"/>
    <w:rsid w:val="00682E83"/>
    <w:rsid w:val="006847AC"/>
    <w:rsid w:val="006862AC"/>
    <w:rsid w:val="006966C5"/>
    <w:rsid w:val="006A1AAA"/>
    <w:rsid w:val="006A652B"/>
    <w:rsid w:val="006B4FEB"/>
    <w:rsid w:val="006D38DD"/>
    <w:rsid w:val="006D6479"/>
    <w:rsid w:val="006E3A41"/>
    <w:rsid w:val="006E7E8E"/>
    <w:rsid w:val="006F2189"/>
    <w:rsid w:val="006F6690"/>
    <w:rsid w:val="00703D47"/>
    <w:rsid w:val="00705635"/>
    <w:rsid w:val="00710978"/>
    <w:rsid w:val="00711122"/>
    <w:rsid w:val="00712F91"/>
    <w:rsid w:val="00714AB5"/>
    <w:rsid w:val="00715711"/>
    <w:rsid w:val="007162A5"/>
    <w:rsid w:val="0071697E"/>
    <w:rsid w:val="007169F8"/>
    <w:rsid w:val="007234F3"/>
    <w:rsid w:val="00726D0D"/>
    <w:rsid w:val="00732AF9"/>
    <w:rsid w:val="00732F57"/>
    <w:rsid w:val="007408FB"/>
    <w:rsid w:val="007410A9"/>
    <w:rsid w:val="00742C79"/>
    <w:rsid w:val="00743904"/>
    <w:rsid w:val="007448A8"/>
    <w:rsid w:val="00751621"/>
    <w:rsid w:val="00752985"/>
    <w:rsid w:val="00753CE4"/>
    <w:rsid w:val="007543B9"/>
    <w:rsid w:val="007568C5"/>
    <w:rsid w:val="00764363"/>
    <w:rsid w:val="00766B7A"/>
    <w:rsid w:val="007704B1"/>
    <w:rsid w:val="00770DBF"/>
    <w:rsid w:val="007749DD"/>
    <w:rsid w:val="007768B7"/>
    <w:rsid w:val="00777197"/>
    <w:rsid w:val="00780026"/>
    <w:rsid w:val="00785A83"/>
    <w:rsid w:val="00785BC8"/>
    <w:rsid w:val="007A253C"/>
    <w:rsid w:val="007B0E5E"/>
    <w:rsid w:val="007B40BC"/>
    <w:rsid w:val="007C0C1B"/>
    <w:rsid w:val="007D3F81"/>
    <w:rsid w:val="007E401A"/>
    <w:rsid w:val="007E4D6B"/>
    <w:rsid w:val="007F0DE9"/>
    <w:rsid w:val="007F32B3"/>
    <w:rsid w:val="007F3F43"/>
    <w:rsid w:val="007F45CF"/>
    <w:rsid w:val="007F4A3D"/>
    <w:rsid w:val="007F5FBA"/>
    <w:rsid w:val="0080388E"/>
    <w:rsid w:val="00803966"/>
    <w:rsid w:val="00822F51"/>
    <w:rsid w:val="00825564"/>
    <w:rsid w:val="00825E47"/>
    <w:rsid w:val="0082641D"/>
    <w:rsid w:val="00841C40"/>
    <w:rsid w:val="008457BE"/>
    <w:rsid w:val="00860C87"/>
    <w:rsid w:val="008627A4"/>
    <w:rsid w:val="00872E24"/>
    <w:rsid w:val="0088232C"/>
    <w:rsid w:val="00883CE3"/>
    <w:rsid w:val="0089252B"/>
    <w:rsid w:val="008956CD"/>
    <w:rsid w:val="008A484E"/>
    <w:rsid w:val="008A52B6"/>
    <w:rsid w:val="008A6550"/>
    <w:rsid w:val="008A663A"/>
    <w:rsid w:val="008B2353"/>
    <w:rsid w:val="008B464E"/>
    <w:rsid w:val="008B5FAE"/>
    <w:rsid w:val="008C3262"/>
    <w:rsid w:val="008E08D3"/>
    <w:rsid w:val="008E363F"/>
    <w:rsid w:val="008E3944"/>
    <w:rsid w:val="008F64E2"/>
    <w:rsid w:val="00912C77"/>
    <w:rsid w:val="00915DD5"/>
    <w:rsid w:val="009225CB"/>
    <w:rsid w:val="009234F0"/>
    <w:rsid w:val="009309DD"/>
    <w:rsid w:val="00937B5E"/>
    <w:rsid w:val="0094694E"/>
    <w:rsid w:val="00947D0B"/>
    <w:rsid w:val="00953301"/>
    <w:rsid w:val="00953399"/>
    <w:rsid w:val="0095460E"/>
    <w:rsid w:val="0095777B"/>
    <w:rsid w:val="00967913"/>
    <w:rsid w:val="00970576"/>
    <w:rsid w:val="00970F02"/>
    <w:rsid w:val="00972598"/>
    <w:rsid w:val="00977634"/>
    <w:rsid w:val="0098474D"/>
    <w:rsid w:val="00993991"/>
    <w:rsid w:val="009A21D7"/>
    <w:rsid w:val="009A2BF1"/>
    <w:rsid w:val="009A5414"/>
    <w:rsid w:val="009B04A2"/>
    <w:rsid w:val="009B2F63"/>
    <w:rsid w:val="009B6FBC"/>
    <w:rsid w:val="009B7074"/>
    <w:rsid w:val="009C0CE4"/>
    <w:rsid w:val="009D4DFD"/>
    <w:rsid w:val="009E32E3"/>
    <w:rsid w:val="009E44F0"/>
    <w:rsid w:val="009E6B35"/>
    <w:rsid w:val="009F0C3D"/>
    <w:rsid w:val="009F0F94"/>
    <w:rsid w:val="00A075DD"/>
    <w:rsid w:val="00A12A50"/>
    <w:rsid w:val="00A12FF7"/>
    <w:rsid w:val="00A13DAF"/>
    <w:rsid w:val="00A1469E"/>
    <w:rsid w:val="00A201A5"/>
    <w:rsid w:val="00A22923"/>
    <w:rsid w:val="00A25183"/>
    <w:rsid w:val="00A257D2"/>
    <w:rsid w:val="00A32BA5"/>
    <w:rsid w:val="00A339B3"/>
    <w:rsid w:val="00A367E8"/>
    <w:rsid w:val="00A37435"/>
    <w:rsid w:val="00A409A1"/>
    <w:rsid w:val="00A40D7D"/>
    <w:rsid w:val="00A43049"/>
    <w:rsid w:val="00A4343F"/>
    <w:rsid w:val="00A461EC"/>
    <w:rsid w:val="00A462DC"/>
    <w:rsid w:val="00A50D16"/>
    <w:rsid w:val="00A549CB"/>
    <w:rsid w:val="00A551F1"/>
    <w:rsid w:val="00A55C3C"/>
    <w:rsid w:val="00A56E5A"/>
    <w:rsid w:val="00A71BF1"/>
    <w:rsid w:val="00A72FA1"/>
    <w:rsid w:val="00A8365C"/>
    <w:rsid w:val="00A86E2E"/>
    <w:rsid w:val="00A909F7"/>
    <w:rsid w:val="00AA41E7"/>
    <w:rsid w:val="00AA55F2"/>
    <w:rsid w:val="00AB23C8"/>
    <w:rsid w:val="00AC053B"/>
    <w:rsid w:val="00AC2478"/>
    <w:rsid w:val="00AC2BFD"/>
    <w:rsid w:val="00AC3868"/>
    <w:rsid w:val="00AC5D02"/>
    <w:rsid w:val="00AC6091"/>
    <w:rsid w:val="00AD08BE"/>
    <w:rsid w:val="00AD256F"/>
    <w:rsid w:val="00AD4250"/>
    <w:rsid w:val="00AE0DBD"/>
    <w:rsid w:val="00AE0E89"/>
    <w:rsid w:val="00AE0EC0"/>
    <w:rsid w:val="00AE22CD"/>
    <w:rsid w:val="00AE7DD0"/>
    <w:rsid w:val="00B001E6"/>
    <w:rsid w:val="00B11CFE"/>
    <w:rsid w:val="00B13A5F"/>
    <w:rsid w:val="00B153D5"/>
    <w:rsid w:val="00B16919"/>
    <w:rsid w:val="00B23CF9"/>
    <w:rsid w:val="00B25C51"/>
    <w:rsid w:val="00B27B9D"/>
    <w:rsid w:val="00B3624E"/>
    <w:rsid w:val="00B37700"/>
    <w:rsid w:val="00B43DB2"/>
    <w:rsid w:val="00B44741"/>
    <w:rsid w:val="00B46CF9"/>
    <w:rsid w:val="00B47F46"/>
    <w:rsid w:val="00B55BBE"/>
    <w:rsid w:val="00B57768"/>
    <w:rsid w:val="00B67EDA"/>
    <w:rsid w:val="00B71C92"/>
    <w:rsid w:val="00B753D5"/>
    <w:rsid w:val="00B819A5"/>
    <w:rsid w:val="00B82239"/>
    <w:rsid w:val="00B857E2"/>
    <w:rsid w:val="00B96701"/>
    <w:rsid w:val="00BA0B62"/>
    <w:rsid w:val="00BA0FAD"/>
    <w:rsid w:val="00BA3625"/>
    <w:rsid w:val="00BA51BE"/>
    <w:rsid w:val="00BA7304"/>
    <w:rsid w:val="00BB3C47"/>
    <w:rsid w:val="00BC042E"/>
    <w:rsid w:val="00BC1CCE"/>
    <w:rsid w:val="00BC3A66"/>
    <w:rsid w:val="00BD177C"/>
    <w:rsid w:val="00BD464F"/>
    <w:rsid w:val="00BE3481"/>
    <w:rsid w:val="00BE3C7C"/>
    <w:rsid w:val="00BF3BB4"/>
    <w:rsid w:val="00BF3DDF"/>
    <w:rsid w:val="00BF70BC"/>
    <w:rsid w:val="00BF70FE"/>
    <w:rsid w:val="00C0266F"/>
    <w:rsid w:val="00C048D9"/>
    <w:rsid w:val="00C27553"/>
    <w:rsid w:val="00C32033"/>
    <w:rsid w:val="00C3376B"/>
    <w:rsid w:val="00C424EF"/>
    <w:rsid w:val="00C52268"/>
    <w:rsid w:val="00C61B5D"/>
    <w:rsid w:val="00C6235A"/>
    <w:rsid w:val="00C641A4"/>
    <w:rsid w:val="00C727E4"/>
    <w:rsid w:val="00C74157"/>
    <w:rsid w:val="00C77677"/>
    <w:rsid w:val="00C82FEA"/>
    <w:rsid w:val="00C84CCA"/>
    <w:rsid w:val="00C90B7B"/>
    <w:rsid w:val="00C91823"/>
    <w:rsid w:val="00CB2102"/>
    <w:rsid w:val="00CB3800"/>
    <w:rsid w:val="00CB4314"/>
    <w:rsid w:val="00CC44E9"/>
    <w:rsid w:val="00CC4D60"/>
    <w:rsid w:val="00CD3EF6"/>
    <w:rsid w:val="00CD417B"/>
    <w:rsid w:val="00CD490F"/>
    <w:rsid w:val="00CD5183"/>
    <w:rsid w:val="00CE391E"/>
    <w:rsid w:val="00CF04AC"/>
    <w:rsid w:val="00CF1E1B"/>
    <w:rsid w:val="00CF3ACA"/>
    <w:rsid w:val="00D0005C"/>
    <w:rsid w:val="00D02991"/>
    <w:rsid w:val="00D1662C"/>
    <w:rsid w:val="00D16EBD"/>
    <w:rsid w:val="00D20803"/>
    <w:rsid w:val="00D2582F"/>
    <w:rsid w:val="00D27A64"/>
    <w:rsid w:val="00D429BE"/>
    <w:rsid w:val="00D45085"/>
    <w:rsid w:val="00D45EBD"/>
    <w:rsid w:val="00D46770"/>
    <w:rsid w:val="00D52A64"/>
    <w:rsid w:val="00D572B9"/>
    <w:rsid w:val="00D61E26"/>
    <w:rsid w:val="00D63982"/>
    <w:rsid w:val="00D64707"/>
    <w:rsid w:val="00D7666E"/>
    <w:rsid w:val="00D83DBA"/>
    <w:rsid w:val="00D8580C"/>
    <w:rsid w:val="00D859A0"/>
    <w:rsid w:val="00D85B12"/>
    <w:rsid w:val="00D923E2"/>
    <w:rsid w:val="00D970E0"/>
    <w:rsid w:val="00D9728A"/>
    <w:rsid w:val="00DA183D"/>
    <w:rsid w:val="00DA26CC"/>
    <w:rsid w:val="00DA6A21"/>
    <w:rsid w:val="00DB0C55"/>
    <w:rsid w:val="00DB7E36"/>
    <w:rsid w:val="00DC1341"/>
    <w:rsid w:val="00DC1532"/>
    <w:rsid w:val="00DC2EE2"/>
    <w:rsid w:val="00DC3629"/>
    <w:rsid w:val="00DC7658"/>
    <w:rsid w:val="00DD0093"/>
    <w:rsid w:val="00DD349E"/>
    <w:rsid w:val="00DE0A90"/>
    <w:rsid w:val="00DE2B22"/>
    <w:rsid w:val="00DE2BF2"/>
    <w:rsid w:val="00DE4605"/>
    <w:rsid w:val="00DE6377"/>
    <w:rsid w:val="00DF3864"/>
    <w:rsid w:val="00DF581E"/>
    <w:rsid w:val="00E029F9"/>
    <w:rsid w:val="00E14982"/>
    <w:rsid w:val="00E14F96"/>
    <w:rsid w:val="00E20A29"/>
    <w:rsid w:val="00E230D4"/>
    <w:rsid w:val="00E230E2"/>
    <w:rsid w:val="00E26A43"/>
    <w:rsid w:val="00E26B5E"/>
    <w:rsid w:val="00E3135E"/>
    <w:rsid w:val="00E37AB8"/>
    <w:rsid w:val="00E37F9E"/>
    <w:rsid w:val="00E40C42"/>
    <w:rsid w:val="00E40FB7"/>
    <w:rsid w:val="00E478B7"/>
    <w:rsid w:val="00E554C7"/>
    <w:rsid w:val="00E56401"/>
    <w:rsid w:val="00E56500"/>
    <w:rsid w:val="00E570C4"/>
    <w:rsid w:val="00E60782"/>
    <w:rsid w:val="00E60990"/>
    <w:rsid w:val="00E6120F"/>
    <w:rsid w:val="00E62D7E"/>
    <w:rsid w:val="00E64CFD"/>
    <w:rsid w:val="00E66715"/>
    <w:rsid w:val="00E67610"/>
    <w:rsid w:val="00E704E3"/>
    <w:rsid w:val="00E73FD3"/>
    <w:rsid w:val="00E74375"/>
    <w:rsid w:val="00E77A35"/>
    <w:rsid w:val="00E833E9"/>
    <w:rsid w:val="00E835B3"/>
    <w:rsid w:val="00E92706"/>
    <w:rsid w:val="00E95A39"/>
    <w:rsid w:val="00E960D2"/>
    <w:rsid w:val="00E96682"/>
    <w:rsid w:val="00EA337B"/>
    <w:rsid w:val="00EB3069"/>
    <w:rsid w:val="00EB5442"/>
    <w:rsid w:val="00EB6A45"/>
    <w:rsid w:val="00EC0FE2"/>
    <w:rsid w:val="00EC4040"/>
    <w:rsid w:val="00EC65A1"/>
    <w:rsid w:val="00EC7E20"/>
    <w:rsid w:val="00ED24D7"/>
    <w:rsid w:val="00ED3254"/>
    <w:rsid w:val="00ED48B5"/>
    <w:rsid w:val="00EE0AB2"/>
    <w:rsid w:val="00EE0D3C"/>
    <w:rsid w:val="00EE7E7C"/>
    <w:rsid w:val="00EF4362"/>
    <w:rsid w:val="00EF500E"/>
    <w:rsid w:val="00EF7E0B"/>
    <w:rsid w:val="00F0224E"/>
    <w:rsid w:val="00F02294"/>
    <w:rsid w:val="00F05E79"/>
    <w:rsid w:val="00F139FA"/>
    <w:rsid w:val="00F152A7"/>
    <w:rsid w:val="00F17F2A"/>
    <w:rsid w:val="00F25235"/>
    <w:rsid w:val="00F25E8D"/>
    <w:rsid w:val="00F36DE3"/>
    <w:rsid w:val="00F40E03"/>
    <w:rsid w:val="00F4188B"/>
    <w:rsid w:val="00F45322"/>
    <w:rsid w:val="00F469CA"/>
    <w:rsid w:val="00F60AEE"/>
    <w:rsid w:val="00F61423"/>
    <w:rsid w:val="00F62891"/>
    <w:rsid w:val="00F6520C"/>
    <w:rsid w:val="00F66C89"/>
    <w:rsid w:val="00F66CAF"/>
    <w:rsid w:val="00F80BB7"/>
    <w:rsid w:val="00F875B4"/>
    <w:rsid w:val="00F91B9F"/>
    <w:rsid w:val="00F93B14"/>
    <w:rsid w:val="00F94262"/>
    <w:rsid w:val="00F94264"/>
    <w:rsid w:val="00F965C4"/>
    <w:rsid w:val="00FA18A4"/>
    <w:rsid w:val="00FA2217"/>
    <w:rsid w:val="00FA5332"/>
    <w:rsid w:val="00FB447B"/>
    <w:rsid w:val="00FB53D9"/>
    <w:rsid w:val="00FB68F7"/>
    <w:rsid w:val="00FD6613"/>
    <w:rsid w:val="00FE1AA1"/>
    <w:rsid w:val="00FE2E90"/>
    <w:rsid w:val="00FE30BE"/>
    <w:rsid w:val="00F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DFBD88"/>
  <w15:docId w15:val="{747D9F12-AC28-2243-9B62-370EBB3D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1B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57F58"/>
    <w:rPr>
      <w:b/>
      <w:bCs/>
    </w:rPr>
  </w:style>
  <w:style w:type="paragraph" w:styleId="Listenabsatz">
    <w:name w:val="List Paragraph"/>
    <w:basedOn w:val="Standard"/>
    <w:uiPriority w:val="34"/>
    <w:qFormat/>
    <w:rsid w:val="0010467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3FE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0FE"/>
  </w:style>
  <w:style w:type="paragraph" w:styleId="Fuzeile">
    <w:name w:val="footer"/>
    <w:basedOn w:val="Standard"/>
    <w:link w:val="FuzeileZchn"/>
    <w:uiPriority w:val="99"/>
    <w:unhideWhenUsed/>
    <w:rsid w:val="00BF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0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0FE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D3EF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49D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9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th-T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3D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3D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3D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11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11A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3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97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2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4201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9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t-vivax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fieml@tkt-vivax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pa@press-n-relations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Dipl.- Ing. (FH) Dirk Fieml</dc:creator>
  <cp:keywords/>
  <dc:description/>
  <cp:lastModifiedBy>Uwe Pagel</cp:lastModifiedBy>
  <cp:revision>3</cp:revision>
  <cp:lastPrinted>2022-06-03T06:41:00Z</cp:lastPrinted>
  <dcterms:created xsi:type="dcterms:W3CDTF">2023-01-19T09:04:00Z</dcterms:created>
  <dcterms:modified xsi:type="dcterms:W3CDTF">2023-01-19T09:09:00Z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